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distribute"/>
        <w:rPr>
          <w:rFonts w:ascii="方正小标宋简体" w:eastAsia="方正小标宋简体"/>
          <w:b w:val="0"/>
          <w:bCs/>
          <w:color w:val="FF0000"/>
          <w:w w:val="90"/>
          <w:sz w:val="90"/>
          <w:szCs w:val="122"/>
        </w:rPr>
      </w:pPr>
      <w:r>
        <w:rPr>
          <w:rFonts w:hint="eastAsia" w:ascii="方正小标宋简体" w:eastAsia="方正小标宋简体"/>
          <w:b w:val="0"/>
          <w:bCs/>
          <w:color w:val="FF0000"/>
          <w:w w:val="90"/>
          <w:sz w:val="90"/>
          <w:szCs w:val="122"/>
        </w:rPr>
        <w:t>如皋市城市管理局文件</w:t>
      </w:r>
    </w:p>
    <w:p>
      <w:pPr>
        <w:pStyle w:val="12"/>
        <w:spacing w:line="240" w:lineRule="exact"/>
        <w:rPr>
          <w:rFonts w:hint="eastAsia" w:ascii="仿宋_GB2312"/>
          <w:sz w:val="32"/>
        </w:rPr>
      </w:pPr>
    </w:p>
    <w:p>
      <w:pPr>
        <w:pStyle w:val="12"/>
        <w:spacing w:line="240" w:lineRule="exact"/>
        <w:ind w:firstLine="640"/>
        <w:rPr>
          <w:rFonts w:hint="eastAsia" w:ascii="仿宋_GB2312"/>
          <w:sz w:val="32"/>
        </w:rPr>
      </w:pPr>
    </w:p>
    <w:p>
      <w:pPr>
        <w:spacing w:line="580" w:lineRule="atLeast"/>
        <w:jc w:val="center"/>
        <w:rPr>
          <w:rFonts w:hint="eastAsia" w:ascii="仿宋_GB2312" w:hAnsi="宋体" w:eastAsia="仿宋_GB2312"/>
          <w:sz w:val="32"/>
          <w:szCs w:val="32"/>
        </w:rPr>
      </w:pPr>
      <w:r>
        <w:rPr>
          <w:rFonts w:hint="eastAsia" w:ascii="仿宋_GB2312" w:hAnsi="宋体" w:eastAsia="仿宋_GB2312"/>
          <w:sz w:val="32"/>
          <w:szCs w:val="32"/>
        </w:rPr>
        <w:t>皋城管发〔201</w:t>
      </w:r>
      <w:r>
        <w:rPr>
          <w:rFonts w:hint="eastAsia" w:ascii="仿宋_GB2312" w:hAnsi="宋体" w:eastAsia="仿宋_GB2312"/>
          <w:sz w:val="32"/>
          <w:szCs w:val="32"/>
          <w:lang w:val="en-US" w:eastAsia="zh-CN"/>
        </w:rPr>
        <w:t>8</w:t>
      </w:r>
      <w:r>
        <w:rPr>
          <w:rFonts w:hint="eastAsia" w:ascii="仿宋_GB2312" w:hAnsi="宋体" w:eastAsia="仿宋_GB2312"/>
          <w:sz w:val="32"/>
          <w:szCs w:val="32"/>
        </w:rPr>
        <w:t>〕</w:t>
      </w:r>
      <w:r>
        <w:rPr>
          <w:rFonts w:hint="eastAsia" w:ascii="仿宋_GB2312" w:hAnsi="宋体" w:eastAsia="仿宋_GB2312"/>
          <w:sz w:val="32"/>
          <w:szCs w:val="32"/>
          <w:lang w:val="en-US" w:eastAsia="zh-CN"/>
        </w:rPr>
        <w:t>42</w:t>
      </w:r>
      <w:r>
        <w:rPr>
          <w:rFonts w:hint="eastAsia" w:ascii="仿宋_GB2312" w:hAnsi="宋体" w:eastAsia="仿宋_GB2312"/>
          <w:sz w:val="32"/>
          <w:szCs w:val="32"/>
        </w:rPr>
        <w:t>号</w:t>
      </w:r>
    </w:p>
    <w:p>
      <w:pPr>
        <w:pStyle w:val="12"/>
        <w:spacing w:line="600" w:lineRule="exact"/>
        <w:ind w:firstLine="640"/>
        <w:jc w:val="center"/>
        <w:rPr>
          <w:rFonts w:hint="eastAsia" w:ascii="仿宋_GB2312"/>
          <w:sz w:val="32"/>
        </w:rPr>
      </w:pPr>
    </w:p>
    <w:p>
      <w:pPr>
        <w:spacing w:line="600" w:lineRule="exact"/>
        <w:rPr>
          <w:rFonts w:hint="eastAsia" w:eastAsia="黑体"/>
          <w:sz w:val="44"/>
          <w:szCs w:val="44"/>
        </w:rPr>
      </w:pPr>
      <w:r>
        <w:rPr>
          <w:rFonts w:hint="eastAsia"/>
        </w:rPr>
        <mc:AlternateContent>
          <mc:Choice Requires="wps">
            <w:drawing>
              <wp:anchor distT="0" distB="0" distL="114300" distR="114300" simplePos="0" relativeHeight="251658240" behindDoc="0" locked="0" layoutInCell="1" allowOverlap="1">
                <wp:simplePos x="0" y="0"/>
                <wp:positionH relativeFrom="page">
                  <wp:posOffset>1008380</wp:posOffset>
                </wp:positionH>
                <wp:positionV relativeFrom="margin">
                  <wp:posOffset>1981200</wp:posOffset>
                </wp:positionV>
                <wp:extent cx="5579745" cy="0"/>
                <wp:effectExtent l="0" t="13970" r="1905" b="24130"/>
                <wp:wrapNone/>
                <wp:docPr id="1" name="直线 2"/>
                <wp:cNvGraphicFramePr/>
                <a:graphic xmlns:a="http://schemas.openxmlformats.org/drawingml/2006/main">
                  <a:graphicData uri="http://schemas.microsoft.com/office/word/2010/wordprocessingShape">
                    <wps:wsp>
                      <wps:cNvCnPr/>
                      <wps:spPr>
                        <a:xfrm>
                          <a:off x="0" y="0"/>
                          <a:ext cx="5579745"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直线 2" o:spid="_x0000_s1026" o:spt="20" style="position:absolute;left:0pt;margin-left:79.4pt;margin-top:156pt;height:0pt;width:439.35pt;mso-position-horizontal-relative:page;mso-position-vertical-relative:margin;z-index:251658240;mso-width-relative:page;mso-height-relative:page;" filled="f" stroked="t" coordsize="21600,21600" o:gfxdata="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w7s7Q2AAAAAwBAAAPAAAAAAAAAAEAIAAAACIA&#10;AABkcnMvZG93bnJldi54bWxQSwECFAAUAAAACACHTuJAxd0BD9ABAACOAwAADgAAAAAAAAABACAA&#10;AAAnAQAAZHJzL2Uyb0RvYy54bWxQSwUGAAAAAAYABgBZAQAAaQUAAAAA&#10;">
                <v:fill on="f" focussize="0,0"/>
                <v:stroke weight="2.25pt" color="#FF0000" joinstyle="round"/>
                <v:imagedata o:title=""/>
                <o:lock v:ext="edit" aspectratio="f"/>
              </v:line>
            </w:pict>
          </mc:Fallback>
        </mc:AlternateContent>
      </w:r>
    </w:p>
    <w:p>
      <w:pPr>
        <w:numPr>
          <w:ilvl w:val="0"/>
          <w:numId w:val="0"/>
        </w:numPr>
        <w:autoSpaceDE/>
        <w:autoSpaceDN/>
        <w:spacing w:before="0" w:after="0" w:line="560" w:lineRule="exact"/>
        <w:ind w:right="0" w:firstLine="0"/>
        <w:jc w:val="center"/>
        <w:rPr>
          <w:rFonts w:hint="eastAsia" w:ascii="方正小标宋简体" w:hAnsi="方正小标宋简体" w:eastAsia="方正小标宋简体" w:cs="方正小标宋简体"/>
          <w:b w:val="0"/>
          <w:bCs/>
          <w:snapToGrid w:val="0"/>
          <w:color w:val="000000"/>
          <w:spacing w:val="-2"/>
          <w:kern w:val="0"/>
          <w:sz w:val="44"/>
          <w:szCs w:val="44"/>
          <w:lang w:eastAsia="zh-CN"/>
        </w:rPr>
      </w:pPr>
      <w:r>
        <w:rPr>
          <w:rFonts w:hint="eastAsia" w:ascii="方正小标宋简体" w:hAnsi="方正小标宋简体" w:eastAsia="方正小标宋简体" w:cs="方正小标宋简体"/>
          <w:b w:val="0"/>
          <w:bCs/>
          <w:snapToGrid w:val="0"/>
          <w:color w:val="000000"/>
          <w:spacing w:val="-2"/>
          <w:kern w:val="0"/>
          <w:sz w:val="44"/>
          <w:szCs w:val="44"/>
          <w:lang w:eastAsia="zh-CN"/>
        </w:rPr>
        <w:t>关于印发《</w:t>
      </w:r>
      <w:r>
        <w:rPr>
          <w:rFonts w:hint="default" w:ascii="方正小标宋简体" w:hAnsi="方正小标宋简体" w:eastAsia="方正小标宋简体"/>
          <w:color w:val="auto"/>
          <w:position w:val="0"/>
          <w:sz w:val="44"/>
          <w:szCs w:val="44"/>
        </w:rPr>
        <w:t xml:space="preserve">如皋市城市管理局从事城市生活垃圾经营性清扫、收集、运输、处理服务许可告知承诺实施办法 </w:t>
      </w:r>
      <w:r>
        <w:rPr>
          <w:rFonts w:hint="eastAsia" w:ascii="方正小标宋简体" w:hAnsi="方正小标宋简体" w:eastAsia="方正小标宋简体" w:cs="方正小标宋简体"/>
          <w:b w:val="0"/>
          <w:bCs/>
          <w:snapToGrid w:val="0"/>
          <w:color w:val="000000"/>
          <w:spacing w:val="-2"/>
          <w:kern w:val="0"/>
          <w:sz w:val="44"/>
          <w:szCs w:val="44"/>
          <w:lang w:eastAsia="zh-CN"/>
        </w:rPr>
        <w:t>》的通知</w:t>
      </w:r>
    </w:p>
    <w:p>
      <w:pPr>
        <w:keepNext w:val="0"/>
        <w:keepLines w:val="0"/>
        <w:pageBreakBefore w:val="0"/>
        <w:kinsoku/>
        <w:wordWrap/>
        <w:overflowPunct/>
        <w:topLinePunct w:val="0"/>
        <w:autoSpaceDE/>
        <w:autoSpaceDN/>
        <w:bidi w:val="0"/>
        <w:adjustRightInd w:val="0"/>
        <w:snapToGrid w:val="0"/>
        <w:spacing w:beforeAutospacing="0" w:afterAutospacing="0" w:line="560" w:lineRule="exact"/>
        <w:ind w:left="0" w:leftChars="0" w:right="0" w:rightChars="0"/>
        <w:jc w:val="center"/>
        <w:textAlignment w:val="auto"/>
        <w:outlineLvl w:val="9"/>
        <w:rPr>
          <w:rFonts w:hint="eastAsia" w:ascii="方正小标宋简体" w:hAnsi="方正小标宋简体" w:eastAsia="方正小标宋简体" w:cs="方正小标宋简体"/>
          <w:b w:val="0"/>
          <w:bCs/>
          <w:snapToGrid w:val="0"/>
          <w:color w:val="000000"/>
          <w:spacing w:val="-2"/>
          <w:kern w:val="0"/>
          <w:sz w:val="44"/>
          <w:szCs w:val="44"/>
          <w:lang w:eastAsia="zh-CN"/>
        </w:rPr>
      </w:pPr>
    </w:p>
    <w:p>
      <w:pPr>
        <w:keepNext w:val="0"/>
        <w:keepLines w:val="0"/>
        <w:pageBreakBefore w:val="0"/>
        <w:kinsoku/>
        <w:wordWrap/>
        <w:overflowPunct/>
        <w:topLinePunct w:val="0"/>
        <w:autoSpaceDE/>
        <w:autoSpaceDN/>
        <w:bidi w:val="0"/>
        <w:adjustRightInd w:val="0"/>
        <w:snapToGrid w:val="0"/>
        <w:spacing w:beforeAutospacing="0" w:afterAutospacing="0" w:line="560" w:lineRule="exact"/>
        <w:ind w:left="0" w:leftChars="0" w:right="0" w:rightChars="0"/>
        <w:jc w:val="both"/>
        <w:textAlignment w:val="auto"/>
        <w:outlineLvl w:val="9"/>
        <w:rPr>
          <w:rFonts w:hint="eastAsia" w:ascii="仿宋_GB2312" w:hAnsi="仿宋_GB2312" w:eastAsia="仿宋_GB2312" w:cs="仿宋_GB2312"/>
          <w:b w:val="0"/>
          <w:bCs/>
          <w:snapToGrid w:val="0"/>
          <w:color w:val="000000"/>
          <w:spacing w:val="-2"/>
          <w:kern w:val="0"/>
          <w:sz w:val="32"/>
          <w:szCs w:val="32"/>
          <w:lang w:eastAsia="zh-CN"/>
        </w:rPr>
      </w:pPr>
      <w:r>
        <w:rPr>
          <w:rFonts w:hint="eastAsia" w:ascii="仿宋_GB2312" w:hAnsi="仿宋_GB2312" w:eastAsia="仿宋_GB2312" w:cs="仿宋_GB2312"/>
          <w:b w:val="0"/>
          <w:bCs/>
          <w:snapToGrid w:val="0"/>
          <w:color w:val="000000"/>
          <w:spacing w:val="-2"/>
          <w:kern w:val="0"/>
          <w:sz w:val="32"/>
          <w:szCs w:val="32"/>
          <w:lang w:eastAsia="zh-CN"/>
        </w:rPr>
        <w:t>机关各科室、监督指挥中心、各下属单位：</w:t>
      </w:r>
    </w:p>
    <w:p>
      <w:pPr>
        <w:keepNext w:val="0"/>
        <w:keepLines w:val="0"/>
        <w:pageBreakBefore w:val="0"/>
        <w:kinsoku/>
        <w:wordWrap/>
        <w:overflowPunct/>
        <w:topLinePunct w:val="0"/>
        <w:autoSpaceDE/>
        <w:autoSpaceDN/>
        <w:bidi w:val="0"/>
        <w:spacing w:beforeAutospacing="0" w:afterAutospacing="0" w:line="540" w:lineRule="exact"/>
        <w:ind w:left="0" w:leftChars="0" w:right="0" w:rightChars="0" w:firstLine="632" w:firstLineChars="200"/>
        <w:textAlignment w:val="auto"/>
        <w:outlineLvl w:val="9"/>
        <w:rPr>
          <w:rFonts w:hint="eastAsia" w:ascii="仿宋_GB2312" w:hAnsi="仿宋_GB2312" w:eastAsia="仿宋_GB2312" w:cs="仿宋_GB2312"/>
          <w:b w:val="0"/>
          <w:bCs/>
          <w:snapToGrid w:val="0"/>
          <w:color w:val="000000"/>
          <w:spacing w:val="-2"/>
          <w:kern w:val="0"/>
          <w:sz w:val="32"/>
          <w:szCs w:val="32"/>
          <w:lang w:eastAsia="zh-CN"/>
        </w:rPr>
      </w:pPr>
      <w:r>
        <w:rPr>
          <w:rFonts w:hint="eastAsia" w:ascii="仿宋_GB2312" w:hAnsi="仿宋_GB2312" w:eastAsia="仿宋_GB2312" w:cs="仿宋_GB2312"/>
          <w:b w:val="0"/>
          <w:bCs/>
          <w:snapToGrid w:val="0"/>
          <w:color w:val="000000"/>
          <w:spacing w:val="-2"/>
          <w:kern w:val="0"/>
          <w:sz w:val="32"/>
          <w:szCs w:val="32"/>
          <w:lang w:eastAsia="zh-CN"/>
        </w:rPr>
        <w:t>《</w:t>
      </w:r>
      <w:r>
        <w:rPr>
          <w:rFonts w:hint="default" w:ascii="仿宋_GB2312" w:hAnsi="仿宋_GB2312" w:eastAsia="仿宋_GB2312" w:cs="仿宋_GB2312"/>
          <w:b w:val="0"/>
          <w:bCs/>
          <w:snapToGrid w:val="0"/>
          <w:color w:val="000000"/>
          <w:spacing w:val="-2"/>
          <w:kern w:val="0"/>
          <w:sz w:val="32"/>
          <w:szCs w:val="32"/>
          <w:lang w:eastAsia="zh-CN"/>
        </w:rPr>
        <w:t xml:space="preserve">如皋市城市管理局从事城市生活垃圾经营性清扫、收集、运输、处理服务许可告知承诺实施办法 </w:t>
      </w:r>
      <w:r>
        <w:rPr>
          <w:rFonts w:hint="eastAsia" w:ascii="仿宋_GB2312" w:hAnsi="仿宋_GB2312" w:eastAsia="仿宋_GB2312" w:cs="仿宋_GB2312"/>
          <w:b w:val="0"/>
          <w:bCs/>
          <w:snapToGrid w:val="0"/>
          <w:color w:val="000000"/>
          <w:spacing w:val="-2"/>
          <w:kern w:val="0"/>
          <w:sz w:val="32"/>
          <w:szCs w:val="32"/>
          <w:lang w:eastAsia="zh-CN"/>
        </w:rPr>
        <w:t>》已经局党组会议讨论，现印发给你们，请遵照执行。</w:t>
      </w:r>
    </w:p>
    <w:p>
      <w:pPr>
        <w:keepNext w:val="0"/>
        <w:keepLines w:val="0"/>
        <w:pageBreakBefore w:val="0"/>
        <w:kinsoku/>
        <w:wordWrap/>
        <w:overflowPunct/>
        <w:topLinePunct w:val="0"/>
        <w:autoSpaceDE/>
        <w:autoSpaceDN/>
        <w:bidi w:val="0"/>
        <w:spacing w:beforeAutospacing="0" w:afterAutospacing="0" w:line="540" w:lineRule="exact"/>
        <w:ind w:left="0" w:leftChars="0" w:right="0" w:rightChars="0" w:firstLine="632" w:firstLineChars="200"/>
        <w:textAlignment w:val="auto"/>
        <w:outlineLvl w:val="9"/>
        <w:rPr>
          <w:rFonts w:hint="eastAsia" w:ascii="仿宋_GB2312" w:hAnsi="仿宋_GB2312" w:eastAsia="仿宋_GB2312" w:cs="仿宋_GB2312"/>
          <w:b w:val="0"/>
          <w:bCs/>
          <w:snapToGrid w:val="0"/>
          <w:color w:val="000000"/>
          <w:spacing w:val="-2"/>
          <w:kern w:val="0"/>
          <w:sz w:val="32"/>
          <w:szCs w:val="32"/>
          <w:lang w:eastAsia="zh-CN"/>
        </w:rPr>
      </w:pPr>
    </w:p>
    <w:p>
      <w:pPr>
        <w:keepNext w:val="0"/>
        <w:keepLines w:val="0"/>
        <w:pageBreakBefore w:val="0"/>
        <w:kinsoku/>
        <w:wordWrap/>
        <w:overflowPunct/>
        <w:topLinePunct w:val="0"/>
        <w:autoSpaceDE/>
        <w:autoSpaceDN/>
        <w:bidi w:val="0"/>
        <w:spacing w:beforeAutospacing="0" w:afterAutospacing="0" w:line="540" w:lineRule="exact"/>
        <w:ind w:left="0" w:leftChars="0" w:right="0" w:rightChars="0" w:firstLine="632" w:firstLineChars="200"/>
        <w:textAlignment w:val="auto"/>
        <w:outlineLvl w:val="9"/>
        <w:rPr>
          <w:rFonts w:hint="eastAsia" w:ascii="仿宋_GB2312" w:hAnsi="仿宋_GB2312" w:eastAsia="仿宋_GB2312" w:cs="仿宋_GB2312"/>
          <w:b w:val="0"/>
          <w:bCs/>
          <w:snapToGrid w:val="0"/>
          <w:color w:val="000000"/>
          <w:spacing w:val="-2"/>
          <w:kern w:val="0"/>
          <w:sz w:val="32"/>
          <w:szCs w:val="32"/>
          <w:lang w:val="en-US" w:eastAsia="zh-CN"/>
        </w:rPr>
      </w:pPr>
      <w:r>
        <w:rPr>
          <w:rFonts w:hint="eastAsia" w:ascii="仿宋_GB2312" w:hAnsi="仿宋_GB2312" w:eastAsia="仿宋_GB2312" w:cs="仿宋_GB2312"/>
          <w:b w:val="0"/>
          <w:bCs/>
          <w:snapToGrid w:val="0"/>
          <w:color w:val="000000"/>
          <w:spacing w:val="-2"/>
          <w:kern w:val="0"/>
          <w:sz w:val="32"/>
          <w:szCs w:val="32"/>
          <w:lang w:val="en-US" w:eastAsia="zh-CN"/>
        </w:rPr>
        <w:t xml:space="preserve">                         </w:t>
      </w:r>
    </w:p>
    <w:p>
      <w:pPr>
        <w:keepNext w:val="0"/>
        <w:keepLines w:val="0"/>
        <w:pageBreakBefore w:val="0"/>
        <w:kinsoku/>
        <w:wordWrap/>
        <w:overflowPunct/>
        <w:topLinePunct w:val="0"/>
        <w:autoSpaceDE/>
        <w:autoSpaceDN/>
        <w:bidi w:val="0"/>
        <w:spacing w:beforeAutospacing="0" w:afterAutospacing="0" w:line="540" w:lineRule="exact"/>
        <w:ind w:left="0" w:leftChars="0" w:right="0" w:rightChars="0" w:firstLine="632" w:firstLineChars="200"/>
        <w:textAlignment w:val="auto"/>
        <w:outlineLvl w:val="9"/>
        <w:rPr>
          <w:rFonts w:hint="eastAsia" w:ascii="仿宋_GB2312" w:hAnsi="仿宋_GB2312" w:eastAsia="仿宋_GB2312" w:cs="仿宋_GB2312"/>
          <w:b w:val="0"/>
          <w:bCs/>
          <w:snapToGrid w:val="0"/>
          <w:color w:val="000000"/>
          <w:spacing w:val="-2"/>
          <w:kern w:val="0"/>
          <w:sz w:val="32"/>
          <w:szCs w:val="32"/>
          <w:lang w:val="en-US" w:eastAsia="zh-CN"/>
        </w:rPr>
      </w:pPr>
      <w:r>
        <w:rPr>
          <w:rFonts w:hint="eastAsia" w:ascii="仿宋_GB2312" w:hAnsi="仿宋_GB2312" w:eastAsia="仿宋_GB2312" w:cs="仿宋_GB2312"/>
          <w:b w:val="0"/>
          <w:bCs/>
          <w:snapToGrid w:val="0"/>
          <w:color w:val="000000"/>
          <w:spacing w:val="-2"/>
          <w:kern w:val="0"/>
          <w:sz w:val="32"/>
          <w:szCs w:val="32"/>
          <w:lang w:val="en-US" w:eastAsia="zh-CN"/>
        </w:rPr>
        <w:t xml:space="preserve">                            如皋市城市管理局</w:t>
      </w:r>
    </w:p>
    <w:p>
      <w:pPr>
        <w:keepNext w:val="0"/>
        <w:keepLines w:val="0"/>
        <w:pageBreakBefore w:val="0"/>
        <w:kinsoku/>
        <w:wordWrap/>
        <w:overflowPunct/>
        <w:topLinePunct w:val="0"/>
        <w:autoSpaceDE/>
        <w:autoSpaceDN/>
        <w:bidi w:val="0"/>
        <w:spacing w:beforeAutospacing="0" w:afterAutospacing="0" w:line="540" w:lineRule="exact"/>
        <w:ind w:left="0" w:leftChars="0" w:right="0" w:rightChars="0" w:firstLine="632" w:firstLineChars="200"/>
        <w:textAlignment w:val="auto"/>
        <w:outlineLvl w:val="9"/>
        <w:rPr>
          <w:rFonts w:hint="eastAsia" w:ascii="仿宋_GB2312" w:hAnsi="仿宋_GB2312" w:eastAsia="仿宋_GB2312" w:cs="仿宋_GB2312"/>
          <w:b w:val="0"/>
          <w:bCs/>
          <w:snapToGrid w:val="0"/>
          <w:color w:val="000000"/>
          <w:spacing w:val="-2"/>
          <w:kern w:val="0"/>
          <w:sz w:val="32"/>
          <w:szCs w:val="32"/>
          <w:lang w:val="en-US" w:eastAsia="zh-CN"/>
        </w:rPr>
      </w:pPr>
      <w:r>
        <w:rPr>
          <w:rFonts w:hint="eastAsia" w:ascii="仿宋_GB2312" w:hAnsi="仿宋_GB2312" w:eastAsia="仿宋_GB2312" w:cs="仿宋_GB2312"/>
          <w:b w:val="0"/>
          <w:bCs/>
          <w:snapToGrid w:val="0"/>
          <w:color w:val="000000"/>
          <w:spacing w:val="-2"/>
          <w:kern w:val="0"/>
          <w:sz w:val="32"/>
          <w:szCs w:val="32"/>
          <w:lang w:val="en-US" w:eastAsia="zh-CN"/>
        </w:rPr>
        <w:t xml:space="preserve">                            2018年6月20日</w:t>
      </w:r>
    </w:p>
    <w:p>
      <w:pPr>
        <w:keepNext w:val="0"/>
        <w:keepLines w:val="0"/>
        <w:pageBreakBefore w:val="0"/>
        <w:kinsoku/>
        <w:wordWrap/>
        <w:overflowPunct/>
        <w:topLinePunct w:val="0"/>
        <w:autoSpaceDE/>
        <w:autoSpaceDN/>
        <w:bidi w:val="0"/>
        <w:spacing w:beforeAutospacing="0" w:afterAutospacing="0" w:line="540" w:lineRule="exact"/>
        <w:ind w:left="0" w:leftChars="0" w:right="0" w:rightChars="0" w:firstLine="640" w:firstLineChars="200"/>
        <w:textAlignment w:val="auto"/>
        <w:outlineLvl w:val="9"/>
        <w:rPr>
          <w:rFonts w:ascii="仿宋_GB2312" w:eastAsia="仿宋_GB2312"/>
          <w:sz w:val="32"/>
          <w:szCs w:val="32"/>
        </w:rPr>
      </w:pPr>
    </w:p>
    <w:p>
      <w:pPr>
        <w:keepNext w:val="0"/>
        <w:keepLines w:val="0"/>
        <w:pageBreakBefore w:val="0"/>
        <w:kinsoku/>
        <w:wordWrap/>
        <w:overflowPunct/>
        <w:topLinePunct w:val="0"/>
        <w:autoSpaceDE/>
        <w:autoSpaceDN/>
        <w:bidi w:val="0"/>
        <w:spacing w:beforeAutospacing="0" w:afterAutospacing="0" w:line="540" w:lineRule="exact"/>
        <w:ind w:left="0" w:leftChars="0" w:right="0" w:rightChars="0" w:firstLine="640" w:firstLineChars="200"/>
        <w:textAlignment w:val="auto"/>
        <w:outlineLvl w:val="9"/>
        <w:rPr>
          <w:rFonts w:ascii="仿宋_GB2312" w:eastAsia="仿宋_GB2312"/>
          <w:sz w:val="32"/>
          <w:szCs w:val="32"/>
        </w:rPr>
      </w:pPr>
    </w:p>
    <w:p>
      <w:pPr>
        <w:keepNext w:val="0"/>
        <w:keepLines w:val="0"/>
        <w:pageBreakBefore w:val="0"/>
        <w:kinsoku/>
        <w:wordWrap/>
        <w:overflowPunct/>
        <w:topLinePunct w:val="0"/>
        <w:autoSpaceDE/>
        <w:autoSpaceDN/>
        <w:bidi w:val="0"/>
        <w:spacing w:beforeAutospacing="0" w:afterAutospacing="0" w:line="540" w:lineRule="exact"/>
        <w:ind w:left="0" w:leftChars="0" w:right="0" w:rightChars="0" w:firstLine="640" w:firstLineChars="200"/>
        <w:textAlignment w:val="auto"/>
        <w:outlineLvl w:val="9"/>
        <w:rPr>
          <w:rFonts w:ascii="仿宋_GB2312" w:eastAsia="仿宋_GB2312"/>
          <w:sz w:val="32"/>
          <w:szCs w:val="32"/>
        </w:rPr>
      </w:pPr>
    </w:p>
    <w:p>
      <w:pPr>
        <w:keepNext w:val="0"/>
        <w:keepLines w:val="0"/>
        <w:pageBreakBefore w:val="0"/>
        <w:kinsoku/>
        <w:wordWrap/>
        <w:overflowPunct/>
        <w:topLinePunct w:val="0"/>
        <w:autoSpaceDE/>
        <w:autoSpaceDN/>
        <w:bidi w:val="0"/>
        <w:spacing w:beforeAutospacing="0" w:afterAutospacing="0" w:line="540" w:lineRule="exact"/>
        <w:ind w:left="0" w:leftChars="0" w:right="0" w:rightChars="0" w:firstLine="640" w:firstLineChars="200"/>
        <w:textAlignment w:val="auto"/>
        <w:outlineLvl w:val="9"/>
        <w:rPr>
          <w:rFonts w:ascii="仿宋_GB2312" w:eastAsia="仿宋_GB2312"/>
          <w:sz w:val="32"/>
          <w:szCs w:val="32"/>
        </w:rPr>
      </w:pPr>
    </w:p>
    <w:p>
      <w:pPr>
        <w:keepNext w:val="0"/>
        <w:keepLines w:val="0"/>
        <w:pageBreakBefore w:val="0"/>
        <w:kinsoku/>
        <w:wordWrap/>
        <w:overflowPunct/>
        <w:topLinePunct w:val="0"/>
        <w:autoSpaceDE/>
        <w:autoSpaceDN/>
        <w:bidi w:val="0"/>
        <w:spacing w:beforeAutospacing="0" w:afterAutospacing="0" w:line="540" w:lineRule="exact"/>
        <w:ind w:left="0" w:leftChars="0" w:right="0" w:rightChars="0" w:firstLine="640" w:firstLineChars="200"/>
        <w:textAlignment w:val="auto"/>
        <w:outlineLvl w:val="9"/>
        <w:rPr>
          <w:rFonts w:ascii="仿宋_GB2312" w:eastAsia="仿宋_GB2312"/>
          <w:sz w:val="32"/>
          <w:szCs w:val="32"/>
        </w:rPr>
      </w:pPr>
    </w:p>
    <w:p>
      <w:pPr>
        <w:keepNext w:val="0"/>
        <w:keepLines w:val="0"/>
        <w:pageBreakBefore w:val="0"/>
        <w:kinsoku/>
        <w:wordWrap/>
        <w:overflowPunct/>
        <w:topLinePunct w:val="0"/>
        <w:autoSpaceDE/>
        <w:autoSpaceDN/>
        <w:bidi w:val="0"/>
        <w:spacing w:beforeAutospacing="0" w:afterAutospacing="0" w:line="540" w:lineRule="exact"/>
        <w:ind w:left="0" w:leftChars="0" w:right="0" w:rightChars="0" w:firstLine="640" w:firstLineChars="200"/>
        <w:textAlignment w:val="auto"/>
        <w:outlineLvl w:val="9"/>
        <w:rPr>
          <w:rFonts w:ascii="仿宋_GB2312" w:eastAsia="仿宋_GB2312"/>
          <w:sz w:val="32"/>
          <w:szCs w:val="32"/>
        </w:rPr>
      </w:pPr>
      <w:bookmarkStart w:id="0" w:name="_GoBack"/>
      <w:bookmarkEnd w:id="0"/>
    </w:p>
    <w:p>
      <w:pPr>
        <w:numPr>
          <w:ilvl w:val="0"/>
          <w:numId w:val="0"/>
        </w:numPr>
        <w:autoSpaceDE/>
        <w:autoSpaceDN/>
        <w:spacing w:before="0" w:after="0" w:line="560" w:lineRule="exact"/>
        <w:ind w:right="0" w:firstLine="0"/>
        <w:jc w:val="center"/>
        <w:rPr>
          <w:rFonts w:hint="default" w:ascii="方正小标宋简体" w:hAnsi="方正小标宋简体" w:eastAsia="方正小标宋简体"/>
          <w:color w:val="auto"/>
          <w:position w:val="0"/>
          <w:sz w:val="44"/>
          <w:szCs w:val="44"/>
        </w:rPr>
      </w:pPr>
      <w:r>
        <w:rPr>
          <w:rFonts w:hint="default" w:ascii="方正小标宋简体" w:hAnsi="方正小标宋简体" w:eastAsia="方正小标宋简体"/>
          <w:color w:val="auto"/>
          <w:position w:val="0"/>
          <w:sz w:val="44"/>
          <w:szCs w:val="44"/>
        </w:rPr>
        <w:t>如皋市城市管理局</w:t>
      </w:r>
    </w:p>
    <w:p>
      <w:pPr>
        <w:numPr>
          <w:ilvl w:val="0"/>
          <w:numId w:val="0"/>
        </w:numPr>
        <w:autoSpaceDE/>
        <w:autoSpaceDN/>
        <w:spacing w:before="0" w:after="0" w:line="560" w:lineRule="exact"/>
        <w:ind w:right="0" w:firstLine="0"/>
        <w:jc w:val="center"/>
        <w:rPr>
          <w:rFonts w:hint="default" w:ascii="方正小标宋简体" w:hAnsi="方正小标宋简体" w:eastAsia="方正小标宋简体"/>
          <w:color w:val="auto"/>
          <w:position w:val="0"/>
          <w:sz w:val="44"/>
          <w:szCs w:val="44"/>
        </w:rPr>
      </w:pPr>
      <w:r>
        <w:rPr>
          <w:rFonts w:hint="default" w:ascii="方正小标宋简体" w:hAnsi="方正小标宋简体" w:eastAsia="方正小标宋简体"/>
          <w:color w:val="auto"/>
          <w:position w:val="0"/>
          <w:sz w:val="44"/>
          <w:szCs w:val="44"/>
        </w:rPr>
        <w:t xml:space="preserve">从事城市生活垃圾经营性清扫、收集、运输、处理服务许可告知承诺实施办法 </w:t>
      </w:r>
    </w:p>
    <w:p>
      <w:pPr>
        <w:numPr>
          <w:ilvl w:val="0"/>
          <w:numId w:val="0"/>
        </w:numPr>
        <w:autoSpaceDE/>
        <w:autoSpaceDN/>
        <w:spacing w:before="0" w:after="0" w:line="480" w:lineRule="auto"/>
        <w:ind w:right="0" w:firstLine="0"/>
        <w:jc w:val="center"/>
        <w:rPr>
          <w:rFonts w:hint="default" w:ascii="宋体" w:hAnsi="宋体" w:eastAsia="宋体"/>
          <w:color w:val="000000"/>
          <w:position w:val="0"/>
          <w:sz w:val="44"/>
          <w:szCs w:val="44"/>
        </w:rPr>
      </w:pPr>
    </w:p>
    <w:p>
      <w:pPr>
        <w:numPr>
          <w:ilvl w:val="0"/>
          <w:numId w:val="0"/>
        </w:numPr>
        <w:wordWrap w:val="0"/>
        <w:autoSpaceDE/>
        <w:autoSpaceDN/>
        <w:spacing w:before="0" w:after="0" w:line="480" w:lineRule="auto"/>
        <w:ind w:right="0" w:firstLine="630"/>
        <w:jc w:val="both"/>
        <w:rPr>
          <w:rFonts w:hint="default" w:ascii="仿宋_GB2312" w:hAnsi="仿宋_GB2312" w:eastAsia="仿宋_GB2312"/>
          <w:color w:val="525353"/>
          <w:position w:val="0"/>
          <w:sz w:val="32"/>
          <w:szCs w:val="32"/>
        </w:rPr>
      </w:pPr>
      <w:r>
        <w:rPr>
          <w:rFonts w:hint="default" w:ascii="仿宋_GB2312" w:hAnsi="仿宋_GB2312" w:eastAsia="仿宋_GB2312"/>
          <w:b/>
          <w:color w:val="525353"/>
          <w:position w:val="0"/>
          <w:sz w:val="32"/>
          <w:szCs w:val="32"/>
        </w:rPr>
        <w:t xml:space="preserve">第一条 </w:t>
      </w:r>
      <w:r>
        <w:rPr>
          <w:rFonts w:hint="default" w:ascii="仿宋_GB2312" w:hAnsi="仿宋_GB2312" w:eastAsia="仿宋_GB2312"/>
          <w:color w:val="525353"/>
          <w:position w:val="0"/>
          <w:sz w:val="32"/>
          <w:szCs w:val="32"/>
        </w:rPr>
        <w:t xml:space="preserve"> 为了优化本市行政审批程序，完善管理方式，提高行政效率，依据《中华人民共和国行政许可法》、《城市生活垃圾管理办法》、《江苏省固体废物污染环境防治条例》等法律法规，结合本市实际，制定本办法。</w:t>
      </w:r>
    </w:p>
    <w:p>
      <w:pPr>
        <w:numPr>
          <w:ilvl w:val="0"/>
          <w:numId w:val="0"/>
        </w:numPr>
        <w:wordWrap w:val="0"/>
        <w:autoSpaceDE/>
        <w:autoSpaceDN/>
        <w:spacing w:before="0" w:after="0" w:line="480" w:lineRule="auto"/>
        <w:ind w:right="0" w:firstLine="630"/>
        <w:jc w:val="both"/>
        <w:rPr>
          <w:rFonts w:hint="default" w:ascii="仿宋_GB2312" w:hAnsi="仿宋_GB2312" w:eastAsia="仿宋_GB2312"/>
          <w:color w:val="525353"/>
          <w:position w:val="0"/>
          <w:sz w:val="32"/>
          <w:szCs w:val="32"/>
        </w:rPr>
      </w:pPr>
      <w:r>
        <w:rPr>
          <w:rFonts w:hint="default" w:ascii="仿宋_GB2312" w:hAnsi="仿宋_GB2312" w:eastAsia="仿宋_GB2312"/>
          <w:b/>
          <w:color w:val="525353"/>
          <w:position w:val="0"/>
          <w:sz w:val="32"/>
          <w:szCs w:val="32"/>
        </w:rPr>
        <w:t xml:space="preserve">第二条 </w:t>
      </w:r>
      <w:r>
        <w:rPr>
          <w:rFonts w:hint="default" w:ascii="仿宋_GB2312" w:hAnsi="仿宋_GB2312" w:eastAsia="仿宋_GB2312"/>
          <w:color w:val="525353"/>
          <w:position w:val="0"/>
          <w:sz w:val="32"/>
          <w:szCs w:val="32"/>
        </w:rPr>
        <w:t xml:space="preserve"> 服务科办理从事生活垃圾经营性清扫、收集、运输、处理服务许可以承诺方式实施行政审批的，适用本办法。网上申报的事项,暂不适用本办法。</w:t>
      </w:r>
    </w:p>
    <w:p>
      <w:pPr>
        <w:numPr>
          <w:ilvl w:val="0"/>
          <w:numId w:val="0"/>
        </w:numPr>
        <w:wordWrap w:val="0"/>
        <w:autoSpaceDE/>
        <w:autoSpaceDN/>
        <w:spacing w:before="0" w:after="0" w:line="480" w:lineRule="auto"/>
        <w:ind w:right="0" w:firstLine="630"/>
        <w:jc w:val="both"/>
        <w:rPr>
          <w:rFonts w:hint="default" w:ascii="仿宋_GB2312" w:hAnsi="仿宋_GB2312" w:eastAsia="仿宋_GB2312"/>
          <w:color w:val="525353"/>
          <w:position w:val="0"/>
          <w:sz w:val="32"/>
          <w:szCs w:val="32"/>
        </w:rPr>
      </w:pPr>
      <w:r>
        <w:rPr>
          <w:rFonts w:hint="default" w:ascii="仿宋_GB2312" w:hAnsi="仿宋_GB2312" w:eastAsia="仿宋_GB2312"/>
          <w:b/>
          <w:color w:val="525353"/>
          <w:position w:val="0"/>
          <w:sz w:val="32"/>
          <w:szCs w:val="32"/>
        </w:rPr>
        <w:t xml:space="preserve">第三条 </w:t>
      </w:r>
      <w:r>
        <w:rPr>
          <w:rFonts w:hint="default" w:ascii="仿宋_GB2312" w:hAnsi="仿宋_GB2312" w:eastAsia="仿宋_GB2312"/>
          <w:color w:val="525353"/>
          <w:position w:val="0"/>
          <w:sz w:val="32"/>
          <w:szCs w:val="32"/>
        </w:rPr>
        <w:t xml:space="preserve"> 服务科负责在本行政区域内从事生活垃圾经营性清扫、收集、运输、处理服务的行政审批，环卫处负责日常监督检查工作。</w:t>
      </w:r>
    </w:p>
    <w:p>
      <w:pPr>
        <w:numPr>
          <w:ilvl w:val="0"/>
          <w:numId w:val="0"/>
        </w:numPr>
        <w:wordWrap w:val="0"/>
        <w:autoSpaceDE/>
        <w:autoSpaceDN/>
        <w:spacing w:before="0" w:after="0" w:line="480" w:lineRule="auto"/>
        <w:ind w:right="0" w:firstLine="630"/>
        <w:jc w:val="both"/>
        <w:rPr>
          <w:rFonts w:hint="default" w:ascii="仿宋_GB2312" w:hAnsi="仿宋_GB2312" w:eastAsia="仿宋_GB2312"/>
          <w:color w:val="525353"/>
          <w:position w:val="0"/>
          <w:sz w:val="32"/>
          <w:szCs w:val="32"/>
        </w:rPr>
      </w:pPr>
      <w:r>
        <w:rPr>
          <w:rFonts w:hint="default" w:ascii="仿宋_GB2312" w:hAnsi="仿宋_GB2312" w:eastAsia="仿宋_GB2312"/>
          <w:b/>
          <w:color w:val="525353"/>
          <w:position w:val="0"/>
          <w:sz w:val="32"/>
          <w:szCs w:val="32"/>
        </w:rPr>
        <w:t xml:space="preserve">第四条 </w:t>
      </w:r>
      <w:r>
        <w:rPr>
          <w:rFonts w:hint="default" w:ascii="仿宋_GB2312" w:hAnsi="仿宋_GB2312" w:eastAsia="仿宋_GB2312"/>
          <w:color w:val="525353"/>
          <w:position w:val="0"/>
          <w:sz w:val="32"/>
          <w:szCs w:val="32"/>
        </w:rPr>
        <w:t xml:space="preserve"> 本行政审批事项获得批准应当具备下列条件、标准和技术要求：</w:t>
      </w:r>
    </w:p>
    <w:p>
      <w:pPr>
        <w:numPr>
          <w:ilvl w:val="0"/>
          <w:numId w:val="0"/>
        </w:numPr>
        <w:wordWrap w:val="0"/>
        <w:autoSpaceDE/>
        <w:autoSpaceDN/>
        <w:spacing w:before="0" w:after="0" w:line="480" w:lineRule="auto"/>
        <w:ind w:right="0" w:firstLine="0"/>
        <w:jc w:val="both"/>
        <w:rPr>
          <w:rFonts w:hint="default" w:ascii="楷体_GB2312" w:hAnsi="楷体_GB2312" w:eastAsia="楷体_GB2312"/>
          <w:color w:val="auto"/>
          <w:position w:val="0"/>
          <w:sz w:val="32"/>
          <w:szCs w:val="32"/>
        </w:rPr>
      </w:pPr>
      <w:r>
        <w:rPr>
          <w:rFonts w:hint="default" w:ascii="仿宋_GB2312" w:hAnsi="仿宋_GB2312" w:eastAsia="仿宋_GB2312"/>
          <w:color w:val="525353"/>
          <w:position w:val="0"/>
          <w:sz w:val="32"/>
          <w:szCs w:val="32"/>
        </w:rPr>
        <w:t>（一）从事城市生活垃圾清扫、收集、运输服务</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1、机械清扫能力达到总清扫能力的20％以上，机械清扫车辆包括洒水车和清扫保洁车辆。机械清扫车辆应当具有自动洒水、防尘、防遗撒、安全警示功能，安装车辆行驶及清扫过程记录仪；</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2、垃圾收集应当采用全密闭运输工具，并应当具有分类收集功能；</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3、垃圾运输应当采用全密闭自动卸载车辆或船只，具有防臭味扩散、防遗撒、防渗沥液滴漏功能，安装行驶及装卸记录仪；</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4、具有健全的技术、质量、安全和监测管理制度并得到有效执行；</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5、具有合法的道路运输经营许可证、车辆行驶证；</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6、具有固定的办公及机械、设备、车辆、船只停放场所。</w:t>
      </w:r>
    </w:p>
    <w:p>
      <w:pPr>
        <w:numPr>
          <w:ilvl w:val="0"/>
          <w:numId w:val="0"/>
        </w:numPr>
        <w:wordWrap w:val="0"/>
        <w:autoSpaceDE/>
        <w:autoSpaceDN/>
        <w:spacing w:before="0" w:after="0" w:line="480" w:lineRule="auto"/>
        <w:ind w:right="0" w:firstLine="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（二）从事城市生活垃圾处置服务</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1、卫生填埋场、堆肥厂和焚烧厂的选址符合城乡规划，并取得规划许可文件；</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2、有至少5名具有初级以上专业技术职称的人员，其中包括环境工程、机械、环境监测等专业的技术人员。技术负责人具有5年以上垃圾处理工作经历，并具有中级以上专业技术职称；</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3、城市生活垃圾中转及处置单位具有完善的工艺运行、设备管理、环境监测与保护、财务管理、生产安全、计量统计等方面的管理制度并得到有效执行；</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4、生活垃圾处理设施配备沼气检测仪器，配备环境监测设施如渗沥液监测井、尾气取样孔，安装在线监测系统等监测设备并与环境卫生行政主管部门联网；</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5、具有完善的生活垃圾渗沥液、沼气的利用和处理技术方案。具有卫生填埋场对不同垃圾进行分区填埋方案、生活垃圾处理的渗沥液、沼气、焚烧烟气、残渣等处理残余物达标处理排放方案；</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6、具有完善的控制污染和突发事件预案。</w:t>
      </w:r>
    </w:p>
    <w:p>
      <w:pPr>
        <w:numPr>
          <w:ilvl w:val="0"/>
          <w:numId w:val="0"/>
        </w:numPr>
        <w:wordWrap w:val="0"/>
        <w:autoSpaceDE/>
        <w:autoSpaceDN/>
        <w:spacing w:before="0" w:after="0" w:line="480" w:lineRule="auto"/>
        <w:ind w:right="0" w:firstLine="630"/>
        <w:jc w:val="both"/>
        <w:rPr>
          <w:rFonts w:hint="default" w:ascii="仿宋_GB2312" w:hAnsi="仿宋_GB2312" w:eastAsia="仿宋_GB2312"/>
          <w:color w:val="525353"/>
          <w:position w:val="0"/>
          <w:sz w:val="32"/>
          <w:szCs w:val="32"/>
        </w:rPr>
      </w:pPr>
      <w:r>
        <w:rPr>
          <w:rFonts w:hint="default" w:ascii="仿宋_GB2312" w:hAnsi="仿宋_GB2312" w:eastAsia="仿宋_GB2312"/>
          <w:b/>
          <w:color w:val="525353"/>
          <w:position w:val="0"/>
          <w:sz w:val="32"/>
          <w:szCs w:val="32"/>
        </w:rPr>
        <w:t xml:space="preserve">第五条  </w:t>
      </w:r>
      <w:r>
        <w:rPr>
          <w:rFonts w:hint="default" w:ascii="仿宋_GB2312" w:hAnsi="仿宋_GB2312" w:eastAsia="仿宋_GB2312"/>
          <w:color w:val="525353"/>
          <w:position w:val="0"/>
          <w:sz w:val="32"/>
          <w:szCs w:val="32"/>
        </w:rPr>
        <w:t>申请人应递交的材料：</w:t>
      </w:r>
    </w:p>
    <w:p>
      <w:pPr>
        <w:numPr>
          <w:ilvl w:val="0"/>
          <w:numId w:val="0"/>
        </w:numPr>
        <w:wordWrap w:val="0"/>
        <w:autoSpaceDE/>
        <w:autoSpaceDN/>
        <w:spacing w:before="0" w:after="0" w:line="480" w:lineRule="auto"/>
        <w:ind w:right="0" w:firstLine="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（一）从事城市生活垃圾清扫、收集、运输服务</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1.申请表；</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2.企业法人营业执照及法定代表人身份证复印件；</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3.清扫机械设备汇总表及照片；</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4.垃圾收集车辆、工具汇总表及图片；</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 xml:space="preserve">5.垃圾运输车辆目录及照片； </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6.技术、质量、安全和监测管理制度文本；</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7.道路运输经营许可证、车辆行驶证复印件；</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8.办公、机械、设备、车辆、船只停放场所材料。</w:t>
      </w:r>
    </w:p>
    <w:p>
      <w:pPr>
        <w:numPr>
          <w:ilvl w:val="0"/>
          <w:numId w:val="0"/>
        </w:numPr>
        <w:wordWrap w:val="0"/>
        <w:autoSpaceDE/>
        <w:autoSpaceDN/>
        <w:spacing w:before="0" w:after="0" w:line="480" w:lineRule="auto"/>
        <w:ind w:right="0" w:firstLine="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（二）从事城市生活垃圾处置服务</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1.申请表；</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2.企业法人营业执照及法定代表人身份证复印件；</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3.处置场所建设规划许可证；</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4.专业技术人员花名册、专业技术人员专业技术职称证书复印件技术负责人的工作经历证明材料；</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5.中转及处置管理相关制度规定；</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6.相关检测设备目录及照片、监测系统联网证明材料；</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7.生活垃圾渗沥液、沼气的利用和处理技术方案；卫生填埋场对不同垃圾进行分区填埋方案；生活垃圾处理的渗沥液、沼气、焚烧烟气、残渣等处理残余物达标处理排放方案；</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8.控制污染和突发事件预案。</w:t>
      </w:r>
    </w:p>
    <w:p>
      <w:pPr>
        <w:numPr>
          <w:ilvl w:val="0"/>
          <w:numId w:val="0"/>
        </w:numPr>
        <w:wordWrap w:val="0"/>
        <w:autoSpaceDE/>
        <w:autoSpaceDN/>
        <w:spacing w:before="0" w:after="0" w:line="480" w:lineRule="auto"/>
        <w:ind w:right="0" w:firstLine="643"/>
        <w:jc w:val="both"/>
        <w:rPr>
          <w:rFonts w:hint="default" w:ascii="仿宋_GB2312" w:hAnsi="仿宋_GB2312" w:eastAsia="仿宋_GB2312"/>
          <w:color w:val="525353"/>
          <w:position w:val="0"/>
          <w:sz w:val="32"/>
          <w:szCs w:val="32"/>
        </w:rPr>
      </w:pPr>
      <w:r>
        <w:rPr>
          <w:rFonts w:hint="default" w:ascii="仿宋_GB2312" w:hAnsi="仿宋_GB2312" w:eastAsia="仿宋_GB2312"/>
          <w:b/>
          <w:color w:val="525353"/>
          <w:position w:val="0"/>
          <w:sz w:val="32"/>
          <w:szCs w:val="32"/>
        </w:rPr>
        <w:t xml:space="preserve">第六条 </w:t>
      </w:r>
      <w:r>
        <w:rPr>
          <w:rFonts w:hint="default" w:ascii="仿宋_GB2312" w:hAnsi="仿宋_GB2312" w:eastAsia="仿宋_GB2312"/>
          <w:color w:val="525353"/>
          <w:position w:val="0"/>
          <w:sz w:val="32"/>
          <w:szCs w:val="32"/>
        </w:rPr>
        <w:t xml:space="preserve"> 申请人递交从事城市生活垃圾经营性清扫、收集、运输、处理服务许可申请时，符合相关条件的可申请办理告知承诺；提交材料完整、齐全的，可当场领取告知承诺书。</w:t>
      </w:r>
    </w:p>
    <w:p>
      <w:pPr>
        <w:numPr>
          <w:ilvl w:val="0"/>
          <w:numId w:val="0"/>
        </w:numPr>
        <w:wordWrap w:val="0"/>
        <w:autoSpaceDE/>
        <w:autoSpaceDN/>
        <w:spacing w:before="0" w:after="0" w:line="480" w:lineRule="auto"/>
        <w:ind w:right="0" w:firstLine="643"/>
        <w:jc w:val="both"/>
        <w:rPr>
          <w:rFonts w:hint="default" w:ascii="仿宋_GB2312" w:hAnsi="仿宋_GB2312" w:eastAsia="仿宋_GB2312"/>
          <w:color w:val="525353"/>
          <w:position w:val="0"/>
          <w:sz w:val="32"/>
          <w:szCs w:val="32"/>
        </w:rPr>
      </w:pPr>
      <w:r>
        <w:rPr>
          <w:rFonts w:hint="default" w:ascii="仿宋_GB2312" w:hAnsi="仿宋_GB2312" w:eastAsia="仿宋_GB2312"/>
          <w:b/>
          <w:color w:val="525353"/>
          <w:position w:val="0"/>
          <w:sz w:val="32"/>
          <w:szCs w:val="32"/>
        </w:rPr>
        <w:t xml:space="preserve">第七条 </w:t>
      </w:r>
      <w:r>
        <w:rPr>
          <w:rFonts w:hint="default" w:ascii="仿宋_GB2312" w:hAnsi="仿宋_GB2312" w:eastAsia="仿宋_GB2312"/>
          <w:color w:val="525353"/>
          <w:position w:val="0"/>
          <w:sz w:val="32"/>
          <w:szCs w:val="32"/>
        </w:rPr>
        <w:t xml:space="preserve"> 申请人收到行政审批机关的告知承诺书，愿意作出承诺的，应当在接到告知承诺书10个工作日内，对告知承诺书中承诺的内容作出确认和承诺，并将填写完整并经签章的告知承诺书（一式二份）递交给市城管局行政服务科。</w:t>
      </w:r>
    </w:p>
    <w:p>
      <w:pPr>
        <w:numPr>
          <w:ilvl w:val="0"/>
          <w:numId w:val="0"/>
        </w:numPr>
        <w:wordWrap w:val="0"/>
        <w:autoSpaceDE/>
        <w:autoSpaceDN/>
        <w:spacing w:before="0" w:after="0" w:line="480" w:lineRule="auto"/>
        <w:ind w:right="0" w:firstLine="643"/>
        <w:jc w:val="both"/>
        <w:rPr>
          <w:rFonts w:hint="default" w:ascii="仿宋_GB2312" w:hAnsi="仿宋_GB2312" w:eastAsia="仿宋_GB2312"/>
          <w:color w:val="525353"/>
          <w:position w:val="0"/>
          <w:sz w:val="32"/>
          <w:szCs w:val="32"/>
        </w:rPr>
      </w:pPr>
      <w:r>
        <w:rPr>
          <w:rFonts w:hint="default" w:ascii="仿宋_GB2312" w:hAnsi="仿宋_GB2312" w:eastAsia="仿宋_GB2312"/>
          <w:b/>
          <w:color w:val="525353"/>
          <w:position w:val="0"/>
          <w:sz w:val="32"/>
          <w:szCs w:val="32"/>
        </w:rPr>
        <w:t>第八条</w:t>
      </w:r>
      <w:r>
        <w:rPr>
          <w:rFonts w:hint="default" w:ascii="仿宋_GB2312" w:hAnsi="仿宋_GB2312" w:eastAsia="仿宋_GB2312"/>
          <w:color w:val="auto"/>
          <w:position w:val="0"/>
          <w:sz w:val="32"/>
          <w:szCs w:val="32"/>
        </w:rPr>
        <w:t xml:space="preserve">  </w:t>
      </w:r>
      <w:r>
        <w:rPr>
          <w:rFonts w:hint="default" w:ascii="仿宋_GB2312" w:hAnsi="仿宋_GB2312" w:eastAsia="仿宋_GB2312"/>
          <w:color w:val="525353"/>
          <w:position w:val="0"/>
          <w:sz w:val="32"/>
          <w:szCs w:val="32"/>
        </w:rPr>
        <w:t>告知承诺书经服务科和申请人双方签章后生效。告知承诺书一式两份，由服务科和申请人各保存一份。</w:t>
      </w:r>
    </w:p>
    <w:p>
      <w:pPr>
        <w:numPr>
          <w:ilvl w:val="0"/>
          <w:numId w:val="0"/>
        </w:numPr>
        <w:wordWrap w:val="0"/>
        <w:autoSpaceDE/>
        <w:autoSpaceDN/>
        <w:spacing w:before="0" w:after="0" w:line="480" w:lineRule="auto"/>
        <w:ind w:right="0" w:firstLine="643"/>
        <w:jc w:val="both"/>
        <w:rPr>
          <w:rFonts w:hint="default" w:ascii="仿宋_GB2312" w:hAnsi="仿宋_GB2312" w:eastAsia="仿宋_GB2312"/>
          <w:color w:val="525353"/>
          <w:position w:val="0"/>
          <w:sz w:val="32"/>
          <w:szCs w:val="32"/>
        </w:rPr>
      </w:pPr>
      <w:r>
        <w:rPr>
          <w:rFonts w:hint="default" w:ascii="仿宋_GB2312" w:hAnsi="仿宋_GB2312" w:eastAsia="仿宋_GB2312"/>
          <w:b/>
          <w:color w:val="525353"/>
          <w:position w:val="0"/>
          <w:sz w:val="32"/>
          <w:szCs w:val="32"/>
        </w:rPr>
        <w:t xml:space="preserve">第九条 </w:t>
      </w:r>
      <w:r>
        <w:rPr>
          <w:rFonts w:hint="default" w:ascii="仿宋_GB2312" w:hAnsi="仿宋_GB2312" w:eastAsia="仿宋_GB2312"/>
          <w:color w:val="auto"/>
          <w:position w:val="0"/>
          <w:sz w:val="32"/>
          <w:szCs w:val="32"/>
        </w:rPr>
        <w:t xml:space="preserve"> </w:t>
      </w:r>
      <w:r>
        <w:rPr>
          <w:rFonts w:hint="default" w:ascii="仿宋_GB2312" w:hAnsi="仿宋_GB2312" w:eastAsia="仿宋_GB2312"/>
          <w:color w:val="525353"/>
          <w:position w:val="0"/>
          <w:sz w:val="32"/>
          <w:szCs w:val="32"/>
        </w:rPr>
        <w:t>服务科收到申请人签章的告知承诺书以及告知承诺书约定的全部材料后，应当场作出行政审批决定。</w:t>
      </w:r>
    </w:p>
    <w:p>
      <w:pPr>
        <w:numPr>
          <w:ilvl w:val="0"/>
          <w:numId w:val="0"/>
        </w:numPr>
        <w:wordWrap w:val="0"/>
        <w:autoSpaceDE/>
        <w:autoSpaceDN/>
        <w:spacing w:before="0" w:after="0" w:line="480" w:lineRule="auto"/>
        <w:ind w:right="0" w:firstLine="640"/>
        <w:jc w:val="both"/>
        <w:rPr>
          <w:rFonts w:hint="default" w:ascii="仿宋_GB2312" w:hAnsi="仿宋_GB2312" w:eastAsia="仿宋_GB2312"/>
          <w:color w:val="525353"/>
          <w:position w:val="0"/>
          <w:sz w:val="32"/>
          <w:szCs w:val="32"/>
        </w:rPr>
      </w:pPr>
      <w:r>
        <w:rPr>
          <w:rFonts w:hint="default" w:ascii="仿宋_GB2312" w:hAnsi="仿宋_GB2312" w:eastAsia="仿宋_GB2312"/>
          <w:color w:val="525353"/>
          <w:position w:val="0"/>
          <w:sz w:val="32"/>
          <w:szCs w:val="32"/>
        </w:rPr>
        <w:t>申请人如果在约定的时间内不能提交告知承诺书和约定材料的，应当向市城管局服务科书面提出撤回告知承诺。申请人书面撤回告知承诺或逾期未提交书面告知承诺书和相关材料的，服务科应当按照《中华人民共和国行政许可法》、《城市生活垃圾管理办法》、《江苏省固体废物污染环境防治条例》等法律法规的规定，实施行政审批。约定期限不计入审批时间。</w:t>
      </w:r>
    </w:p>
    <w:p>
      <w:pPr>
        <w:numPr>
          <w:ilvl w:val="0"/>
          <w:numId w:val="0"/>
        </w:numPr>
        <w:wordWrap w:val="0"/>
        <w:autoSpaceDE/>
        <w:autoSpaceDN/>
        <w:spacing w:before="0" w:after="0" w:line="480" w:lineRule="auto"/>
        <w:ind w:right="0" w:firstLine="630"/>
        <w:jc w:val="both"/>
        <w:rPr>
          <w:rFonts w:hint="default" w:ascii="仿宋_GB2312" w:hAnsi="仿宋_GB2312" w:eastAsia="仿宋_GB2312"/>
          <w:color w:val="525353"/>
          <w:position w:val="0"/>
          <w:sz w:val="32"/>
          <w:szCs w:val="32"/>
        </w:rPr>
      </w:pPr>
      <w:r>
        <w:rPr>
          <w:rFonts w:hint="default" w:ascii="仿宋_GB2312" w:hAnsi="仿宋_GB2312" w:eastAsia="仿宋_GB2312"/>
          <w:b/>
          <w:color w:val="525353"/>
          <w:position w:val="0"/>
          <w:sz w:val="32"/>
          <w:szCs w:val="32"/>
        </w:rPr>
        <w:t xml:space="preserve">第十条  </w:t>
      </w:r>
      <w:r>
        <w:rPr>
          <w:rFonts w:hint="default" w:ascii="仿宋_GB2312" w:hAnsi="仿宋_GB2312" w:eastAsia="仿宋_GB2312"/>
          <w:color w:val="525353"/>
          <w:position w:val="0"/>
          <w:sz w:val="32"/>
          <w:szCs w:val="32"/>
        </w:rPr>
        <w:t>服务科应在做作出行政审批决定后10日内依法向被审批人送达相关文书和证件。</w:t>
      </w:r>
    </w:p>
    <w:p>
      <w:pPr>
        <w:numPr>
          <w:ilvl w:val="0"/>
          <w:numId w:val="0"/>
        </w:numPr>
        <w:wordWrap w:val="0"/>
        <w:autoSpaceDE/>
        <w:autoSpaceDN/>
        <w:spacing w:before="0" w:after="0" w:line="480" w:lineRule="auto"/>
        <w:ind w:right="0" w:firstLine="630"/>
        <w:jc w:val="both"/>
        <w:rPr>
          <w:rFonts w:hint="default" w:ascii="仿宋_GB2312" w:hAnsi="仿宋_GB2312" w:eastAsia="仿宋_GB2312"/>
          <w:color w:val="525353"/>
          <w:position w:val="0"/>
          <w:sz w:val="32"/>
          <w:szCs w:val="32"/>
        </w:rPr>
      </w:pPr>
      <w:r>
        <w:rPr>
          <w:rFonts w:hint="default" w:ascii="仿宋_GB2312" w:hAnsi="仿宋_GB2312" w:eastAsia="仿宋_GB2312"/>
          <w:b/>
          <w:color w:val="525353"/>
          <w:position w:val="0"/>
          <w:sz w:val="32"/>
          <w:szCs w:val="32"/>
        </w:rPr>
        <w:t xml:space="preserve">第十一条 </w:t>
      </w:r>
      <w:r>
        <w:rPr>
          <w:rFonts w:hint="default" w:ascii="仿宋_GB2312" w:hAnsi="仿宋_GB2312" w:eastAsia="仿宋_GB2312"/>
          <w:color w:val="525353"/>
          <w:position w:val="0"/>
          <w:sz w:val="32"/>
          <w:szCs w:val="32"/>
        </w:rPr>
        <w:t xml:space="preserve"> 行政审批部门将在作出准予行政许可决定后2个月内对申请人的承诺内容是否属实进行检查。发现申请人实际情况与承诺内容不符且限期整改后仍不符合条件的，依法撤销行政许可决定。</w:t>
      </w:r>
    </w:p>
    <w:p>
      <w:pPr>
        <w:numPr>
          <w:ilvl w:val="0"/>
          <w:numId w:val="0"/>
        </w:numPr>
        <w:wordWrap w:val="0"/>
        <w:autoSpaceDE/>
        <w:autoSpaceDN/>
        <w:spacing w:before="0" w:after="0" w:line="480" w:lineRule="auto"/>
        <w:ind w:right="0" w:firstLine="630"/>
        <w:jc w:val="both"/>
        <w:rPr>
          <w:rFonts w:hint="eastAsia" w:ascii="仿宋_GB2312" w:hAnsi="仿宋_GB2312" w:eastAsia="仿宋_GB2312" w:cs="仿宋_GB2312"/>
          <w:color w:val="525353"/>
          <w:position w:val="0"/>
          <w:sz w:val="32"/>
          <w:szCs w:val="32"/>
        </w:rPr>
      </w:pPr>
      <w:r>
        <w:rPr>
          <w:rFonts w:hint="default" w:ascii="仿宋_GB2312" w:hAnsi="仿宋_GB2312" w:eastAsia="仿宋_GB2312"/>
          <w:b/>
          <w:color w:val="525353"/>
          <w:position w:val="0"/>
          <w:sz w:val="32"/>
          <w:szCs w:val="32"/>
        </w:rPr>
        <w:t xml:space="preserve">第十二条 </w:t>
      </w:r>
      <w:r>
        <w:rPr>
          <w:rFonts w:hint="eastAsia" w:ascii="仿宋_GB2312" w:hAnsi="仿宋_GB2312" w:eastAsia="仿宋_GB2312" w:cs="仿宋_GB2312"/>
          <w:b/>
          <w:color w:val="525353"/>
          <w:position w:val="0"/>
          <w:sz w:val="32"/>
          <w:szCs w:val="32"/>
        </w:rPr>
        <w:t xml:space="preserve"> </w:t>
      </w:r>
      <w:r>
        <w:rPr>
          <w:rFonts w:hint="eastAsia" w:ascii="仿宋_GB2312" w:hAnsi="仿宋_GB2312" w:eastAsia="仿宋_GB2312" w:cs="仿宋_GB2312"/>
          <w:color w:val="525353"/>
          <w:position w:val="0"/>
          <w:sz w:val="32"/>
          <w:szCs w:val="32"/>
        </w:rPr>
        <w:t>申请人两次以上未按照约定日期提交告知承诺书，且没有提出撤回的，或者被审批人在实行告知承诺审批后，被依法撤销行政审批决定的，记入服务科信用诚信档案，并对该申请人不再适用告知承诺的审批方式。</w:t>
      </w:r>
    </w:p>
    <w:p>
      <w:pPr>
        <w:numPr>
          <w:ilvl w:val="0"/>
          <w:numId w:val="0"/>
        </w:numPr>
        <w:wordWrap w:val="0"/>
        <w:autoSpaceDE/>
        <w:autoSpaceDN/>
        <w:spacing w:before="0" w:after="0" w:line="480" w:lineRule="auto"/>
        <w:ind w:right="0" w:firstLine="630"/>
        <w:jc w:val="both"/>
        <w:rPr>
          <w:rFonts w:hint="default" w:ascii="仿宋_GB2312" w:hAnsi="仿宋_GB2312" w:eastAsia="仿宋_GB2312"/>
          <w:color w:val="525353"/>
          <w:position w:val="0"/>
          <w:sz w:val="32"/>
          <w:szCs w:val="32"/>
        </w:rPr>
      </w:pPr>
      <w:r>
        <w:rPr>
          <w:rFonts w:hint="default" w:ascii="仿宋_GB2312" w:hAnsi="仿宋_GB2312" w:eastAsia="仿宋_GB2312"/>
          <w:b/>
          <w:color w:val="525353"/>
          <w:position w:val="0"/>
          <w:sz w:val="32"/>
          <w:szCs w:val="32"/>
        </w:rPr>
        <w:t xml:space="preserve">第十三条 </w:t>
      </w:r>
      <w:r>
        <w:rPr>
          <w:rFonts w:hint="default" w:ascii="仿宋_GB2312" w:hAnsi="仿宋_GB2312" w:eastAsia="仿宋_GB2312"/>
          <w:color w:val="525353"/>
          <w:position w:val="0"/>
          <w:sz w:val="32"/>
          <w:szCs w:val="32"/>
        </w:rPr>
        <w:t xml:space="preserve"> 申请人不愿意作出承诺的，行政审批机关应当按照《中华人民共和国行政许可法》、《城市生活垃圾管理办法》、《江苏省固体废物污染环境防治条例》等法律法规及有关规定，实施审批。</w:t>
      </w:r>
    </w:p>
    <w:p>
      <w:pPr>
        <w:numPr>
          <w:ilvl w:val="0"/>
          <w:numId w:val="0"/>
        </w:numPr>
        <w:wordWrap w:val="0"/>
        <w:autoSpaceDE/>
        <w:autoSpaceDN/>
        <w:spacing w:before="0" w:after="0" w:line="480" w:lineRule="auto"/>
        <w:ind w:right="0" w:firstLine="630"/>
        <w:jc w:val="both"/>
        <w:rPr>
          <w:rFonts w:hint="default" w:ascii="仿宋_GB2312" w:hAnsi="仿宋_GB2312" w:eastAsia="仿宋_GB2312"/>
          <w:color w:val="525353"/>
          <w:position w:val="0"/>
          <w:sz w:val="32"/>
          <w:szCs w:val="32"/>
        </w:rPr>
      </w:pPr>
      <w:r>
        <w:rPr>
          <w:rFonts w:hint="default" w:ascii="仿宋_GB2312" w:hAnsi="仿宋_GB2312" w:eastAsia="仿宋_GB2312"/>
          <w:b/>
          <w:color w:val="525353"/>
          <w:position w:val="0"/>
          <w:sz w:val="32"/>
          <w:szCs w:val="32"/>
        </w:rPr>
        <w:t xml:space="preserve">第十四条  </w:t>
      </w:r>
      <w:r>
        <w:rPr>
          <w:rFonts w:hint="default" w:ascii="仿宋_GB2312" w:hAnsi="仿宋_GB2312" w:eastAsia="仿宋_GB2312"/>
          <w:color w:val="525353"/>
          <w:position w:val="0"/>
          <w:sz w:val="32"/>
          <w:szCs w:val="32"/>
        </w:rPr>
        <w:t xml:space="preserve"> 本办法自2018年5月18日起施行。</w:t>
      </w:r>
    </w:p>
    <w:p>
      <w:pPr>
        <w:numPr>
          <w:ilvl w:val="0"/>
          <w:numId w:val="0"/>
        </w:numPr>
        <w:wordWrap w:val="0"/>
        <w:autoSpaceDE/>
        <w:autoSpaceDN/>
        <w:spacing w:before="0" w:after="0" w:line="480" w:lineRule="auto"/>
        <w:ind w:right="0" w:firstLine="0"/>
        <w:jc w:val="both"/>
        <w:rPr>
          <w:rFonts w:hint="default" w:ascii="微软雅黑" w:hAnsi="微软雅黑" w:eastAsia="微软雅黑"/>
          <w:color w:val="000000"/>
          <w:position w:val="0"/>
          <w:sz w:val="24"/>
          <w:szCs w:val="24"/>
        </w:rPr>
      </w:pPr>
    </w:p>
    <w:p>
      <w:pPr>
        <w:numPr>
          <w:ilvl w:val="0"/>
          <w:numId w:val="0"/>
        </w:numPr>
        <w:autoSpaceDE/>
        <w:autoSpaceDN/>
        <w:spacing w:before="0" w:after="0" w:line="560" w:lineRule="exact"/>
        <w:ind w:right="0" w:firstLine="0"/>
        <w:jc w:val="both"/>
        <w:rPr>
          <w:rFonts w:hint="default" w:ascii="方正小标宋简体" w:hAnsi="方正小标宋简体" w:eastAsia="方正小标宋简体"/>
          <w:color w:val="auto"/>
          <w:position w:val="0"/>
          <w:sz w:val="44"/>
          <w:szCs w:val="44"/>
        </w:rPr>
      </w:pPr>
    </w:p>
    <w:p>
      <w:pPr>
        <w:numPr>
          <w:ilvl w:val="0"/>
          <w:numId w:val="0"/>
        </w:numPr>
        <w:autoSpaceDE/>
        <w:autoSpaceDN/>
        <w:spacing w:before="0" w:after="0" w:line="240" w:lineRule="auto"/>
        <w:ind w:right="0" w:firstLine="0"/>
        <w:jc w:val="both"/>
        <w:rPr>
          <w:rFonts w:hint="default" w:ascii="Times New Roman" w:hAnsi="Malgun Gothic" w:eastAsia="Malgun Gothic"/>
          <w:color w:val="auto"/>
          <w:position w:val="0"/>
          <w:sz w:val="21"/>
          <w:szCs w:val="21"/>
        </w:rPr>
      </w:pPr>
    </w:p>
    <w:sectPr>
      <w:pgSz w:w="11906" w:h="16838"/>
      <w:pgMar w:top="1440" w:right="1587" w:bottom="1440" w:left="1587" w:header="851" w:footer="992" w:gutter="0"/>
      <w:paperSrc/>
      <w:pgNumType w:fmt="decimal"/>
      <w:cols w:equalWidth="0" w:num="1">
        <w:col w:w="8306"/>
      </w:cols>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Malgun Gothic">
    <w:altName w:val="Gulim"/>
    <w:panose1 w:val="020B0503020000020004"/>
    <w:charset w:val="81"/>
    <w:family w:val="auto"/>
    <w:pitch w:val="default"/>
    <w:sig w:usb0="00000000" w:usb1="00000000" w:usb2="00000012" w:usb3="00000000" w:csb0="00080001" w:csb1="00000000"/>
  </w:font>
  <w:font w:name="Gulim">
    <w:panose1 w:val="020B0600000101010101"/>
    <w:charset w:val="81"/>
    <w:family w:val="auto"/>
    <w:pitch w:val="default"/>
    <w:sig w:usb0="B00002AF" w:usb1="69D77CFB" w:usb2="00000030" w:usb3="00000000" w:csb0="4008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isplayHorizontalDrawingGridEvery w:val="0"/>
  <w:displayVerticalDrawingGridEvery w:val="2"/>
  <w:characterSpacingControl w:val="compressPunctuation"/>
  <w:compat>
    <w:balanceSingleByteDoubleByteWidth/>
    <w:ulTrailSpace/>
    <w:adjustLineHeightInTable/>
    <w:useFELayout/>
    <w:compatSetting w:name="compatibilityMode" w:uri="http://schemas.microsoft.com/office/word" w:val="15"/>
  </w:compat>
  <w:rsids>
    <w:rsidRoot w:val="00000000"/>
    <w:rsid w:val="0AA152E8"/>
    <w:rsid w:val="0F6955EC"/>
    <w:rsid w:val="1A0C3BDE"/>
    <w:rsid w:val="5B79007B"/>
    <w:rsid w:val="7DF82B38"/>
  </w:rsids>
  <m:mathPr>
    <m:brkBin m:val="before"/>
    <m:brkBinSub m:val="--"/>
    <m:smallFrac m:val="1"/>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7" w:semiHidden="0" w:name="heading 1"/>
    <w:lsdException w:qFormat="1" w:unhideWhenUsed="0" w:uiPriority="8" w:semiHidden="0" w:name="heading 2"/>
    <w:lsdException w:qFormat="1" w:unhideWhenUsed="0" w:uiPriority="9" w:semiHidden="0" w:name="heading 3"/>
    <w:lsdException w:qFormat="1" w:unhideWhenUsed="0" w:uiPriority="10" w:semiHidden="0" w:name="heading 4"/>
    <w:lsdException w:qFormat="1" w:unhideWhenUsed="0" w:uiPriority="11" w:semiHidden="0" w:name="heading 5"/>
    <w:lsdException w:qFormat="1" w:unhideWhenUsed="0" w:uiPriority="12" w:semiHidden="0" w:name="heading 6"/>
    <w:lsdException w:qFormat="1" w:unhideWhenUsed="0" w:uiPriority="13" w:semiHidden="0" w:name="heading 7"/>
    <w:lsdException w:qFormat="1" w:unhideWhenUsed="0" w:uiPriority="14" w:semiHidden="0" w:name="heading 8"/>
    <w:lsdException w:qFormat="1" w:unhideWhenUsed="0" w:uiPriority="15"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28" w:semiHidden="0" w:name="toc 1"/>
    <w:lsdException w:qFormat="1" w:uiPriority="29" w:semiHidden="0" w:name="toc 2"/>
    <w:lsdException w:qFormat="1" w:uiPriority="30" w:semiHidden="0" w:name="toc 3"/>
    <w:lsdException w:qFormat="1" w:uiPriority="31" w:semiHidden="0" w:name="toc 4"/>
    <w:lsdException w:qFormat="1" w:uiPriority="32" w:semiHidden="0" w:name="toc 5"/>
    <w:lsdException w:qFormat="1" w:uiPriority="33" w:semiHidden="0" w:name="toc 6"/>
    <w:lsdException w:qFormat="1" w:uiPriority="34" w:semiHidden="0" w:name="toc 7"/>
    <w:lsdException w:qFormat="1" w:uiPriority="35" w:semiHidden="0" w:name="toc 8"/>
    <w:lsdException w:qFormat="1" w:uiPriority="36"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152" w:name="header"/>
    <w:lsdException w:qFormat="1" w:uiPriority="154"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6" w:semiHidden="0" w:name="Title"/>
    <w:lsdException w:unhideWhenUsed="0" w:uiPriority="0" w:semiHidden="0" w:name="Closing"/>
    <w:lsdException w:unhideWhenUsed="0" w:uiPriority="0" w:semiHidden="0" w:name="Signature"/>
    <w:lsdException w:uiPriority="2"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6"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0" w:semiHidden="0" w:name="Strong"/>
    <w:lsdException w:qFormat="1" w:unhideWhenUsed="0" w:uiPriority="18"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156"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37"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158" w:name="Balloon Text"/>
    <w:lsdException w:qFormat="1" w:unhideWhenUsed="0" w:uiPriority="38" w:semiHidden="0" w:name="Table Grid"/>
    <w:lsdException w:unhideWhenUsed="0" w:uiPriority="0" w:semiHidden="0" w:name="Table Theme"/>
    <w:lsdException w:qFormat="1" w:unhideWhenUsed="0" w:uiPriority="5"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6" w:semiHidden="0" w:name="List Paragraph"/>
    <w:lsdException w:qFormat="1" w:unhideWhenUsed="0" w:uiPriority="21" w:semiHidden="0" w:name="Quote"/>
    <w:lsdException w:qFormat="1" w:unhideWhenUsed="0" w:uiPriority="22"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wordWrap/>
      <w:autoSpaceDE/>
      <w:autoSpaceDN/>
      <w:jc w:val="both"/>
    </w:pPr>
    <w:rPr>
      <w:rFonts w:ascii="Times New Roman" w:hAnsi="Times New Roman" w:eastAsia="Times New Roman" w:cs="Times New Roman"/>
      <w:w w:val="100"/>
      <w:sz w:val="20"/>
      <w:szCs w:val="20"/>
      <w:shd w:val="clear"/>
    </w:rPr>
  </w:style>
  <w:style w:type="paragraph" w:styleId="2">
    <w:name w:val="heading 1"/>
    <w:next w:val="1"/>
    <w:qFormat/>
    <w:uiPriority w:val="7"/>
    <w:pPr>
      <w:widowControl/>
      <w:wordWrap/>
      <w:autoSpaceDE/>
      <w:autoSpaceDN/>
      <w:jc w:val="both"/>
    </w:pPr>
    <w:rPr>
      <w:rFonts w:ascii="Calibri" w:hAnsi="Calibri" w:eastAsia="Times New Roman" w:cs="Times New Roman"/>
      <w:w w:val="100"/>
      <w:sz w:val="28"/>
      <w:szCs w:val="28"/>
      <w:shd w:val="clear"/>
    </w:rPr>
  </w:style>
  <w:style w:type="paragraph" w:styleId="3">
    <w:name w:val="heading 2"/>
    <w:next w:val="1"/>
    <w:qFormat/>
    <w:uiPriority w:val="8"/>
    <w:pPr>
      <w:widowControl/>
      <w:wordWrap/>
      <w:autoSpaceDE/>
      <w:autoSpaceDN/>
      <w:jc w:val="both"/>
    </w:pPr>
    <w:rPr>
      <w:rFonts w:ascii="Calibri" w:hAnsi="Calibri" w:eastAsia="Times New Roman" w:cs="Times New Roman"/>
      <w:w w:val="100"/>
      <w:sz w:val="21"/>
      <w:szCs w:val="21"/>
      <w:shd w:val="clear"/>
    </w:rPr>
  </w:style>
  <w:style w:type="paragraph" w:styleId="4">
    <w:name w:val="heading 3"/>
    <w:next w:val="1"/>
    <w:qFormat/>
    <w:uiPriority w:val="9"/>
    <w:pPr>
      <w:widowControl/>
      <w:wordWrap/>
      <w:autoSpaceDE/>
      <w:autoSpaceDN/>
      <w:ind w:left="1000" w:hanging="400"/>
      <w:jc w:val="both"/>
    </w:pPr>
    <w:rPr>
      <w:rFonts w:ascii="Calibri" w:hAnsi="Calibri" w:eastAsia="Times New Roman" w:cs="Times New Roman"/>
      <w:w w:val="100"/>
      <w:sz w:val="21"/>
      <w:szCs w:val="21"/>
      <w:shd w:val="clear"/>
    </w:rPr>
  </w:style>
  <w:style w:type="paragraph" w:styleId="5">
    <w:name w:val="heading 4"/>
    <w:next w:val="1"/>
    <w:qFormat/>
    <w:uiPriority w:val="10"/>
    <w:pPr>
      <w:widowControl/>
      <w:wordWrap/>
      <w:autoSpaceDE/>
      <w:autoSpaceDN/>
      <w:ind w:left="1200" w:hanging="400"/>
      <w:jc w:val="both"/>
    </w:pPr>
    <w:rPr>
      <w:rFonts w:ascii="Calibri" w:hAnsi="Calibri" w:eastAsia="Times New Roman" w:cs="Times New Roman"/>
      <w:b/>
      <w:w w:val="100"/>
      <w:sz w:val="20"/>
      <w:szCs w:val="20"/>
      <w:shd w:val="clear"/>
    </w:rPr>
  </w:style>
  <w:style w:type="paragraph" w:styleId="6">
    <w:name w:val="heading 5"/>
    <w:next w:val="1"/>
    <w:qFormat/>
    <w:uiPriority w:val="11"/>
    <w:pPr>
      <w:widowControl/>
      <w:wordWrap/>
      <w:autoSpaceDE/>
      <w:autoSpaceDN/>
      <w:ind w:left="1400" w:hanging="400"/>
      <w:jc w:val="both"/>
    </w:pPr>
    <w:rPr>
      <w:rFonts w:ascii="Calibri" w:hAnsi="Calibri" w:eastAsia="Times New Roman" w:cs="Times New Roman"/>
      <w:w w:val="100"/>
      <w:sz w:val="21"/>
      <w:szCs w:val="21"/>
      <w:shd w:val="clear"/>
    </w:rPr>
  </w:style>
  <w:style w:type="paragraph" w:styleId="7">
    <w:name w:val="heading 6"/>
    <w:next w:val="1"/>
    <w:qFormat/>
    <w:uiPriority w:val="12"/>
    <w:pPr>
      <w:widowControl/>
      <w:wordWrap/>
      <w:autoSpaceDE/>
      <w:autoSpaceDN/>
      <w:ind w:left="1600" w:hanging="400"/>
      <w:jc w:val="both"/>
    </w:pPr>
    <w:rPr>
      <w:rFonts w:ascii="Calibri" w:hAnsi="Calibri" w:eastAsia="Times New Roman" w:cs="Times New Roman"/>
      <w:b/>
      <w:w w:val="100"/>
      <w:sz w:val="20"/>
      <w:szCs w:val="20"/>
      <w:shd w:val="clear"/>
    </w:rPr>
  </w:style>
  <w:style w:type="paragraph" w:styleId="8">
    <w:name w:val="heading 7"/>
    <w:next w:val="1"/>
    <w:qFormat/>
    <w:uiPriority w:val="13"/>
    <w:pPr>
      <w:widowControl/>
      <w:wordWrap/>
      <w:autoSpaceDE/>
      <w:autoSpaceDN/>
      <w:ind w:left="1800" w:hanging="400"/>
      <w:jc w:val="both"/>
    </w:pPr>
    <w:rPr>
      <w:rFonts w:ascii="Calibri" w:hAnsi="Calibri" w:eastAsia="Times New Roman" w:cs="Times New Roman"/>
      <w:w w:val="100"/>
      <w:sz w:val="21"/>
      <w:szCs w:val="21"/>
      <w:shd w:val="clear"/>
    </w:rPr>
  </w:style>
  <w:style w:type="paragraph" w:styleId="9">
    <w:name w:val="heading 8"/>
    <w:next w:val="1"/>
    <w:qFormat/>
    <w:uiPriority w:val="14"/>
    <w:pPr>
      <w:widowControl/>
      <w:wordWrap/>
      <w:autoSpaceDE/>
      <w:autoSpaceDN/>
      <w:ind w:left="2000" w:hanging="400"/>
      <w:jc w:val="both"/>
    </w:pPr>
    <w:rPr>
      <w:rFonts w:ascii="Calibri" w:hAnsi="Calibri" w:eastAsia="Times New Roman" w:cs="Times New Roman"/>
      <w:w w:val="100"/>
      <w:sz w:val="21"/>
      <w:szCs w:val="21"/>
      <w:shd w:val="clear"/>
    </w:rPr>
  </w:style>
  <w:style w:type="paragraph" w:styleId="10">
    <w:name w:val="heading 9"/>
    <w:next w:val="1"/>
    <w:qFormat/>
    <w:uiPriority w:val="15"/>
    <w:pPr>
      <w:widowControl/>
      <w:wordWrap/>
      <w:autoSpaceDE/>
      <w:autoSpaceDN/>
      <w:ind w:left="2200" w:hanging="400"/>
      <w:jc w:val="both"/>
    </w:pPr>
    <w:rPr>
      <w:rFonts w:ascii="Calibri" w:hAnsi="Calibri" w:eastAsia="Times New Roman" w:cs="Times New Roman"/>
      <w:w w:val="100"/>
      <w:sz w:val="21"/>
      <w:szCs w:val="21"/>
      <w:shd w:val="clear"/>
    </w:rPr>
  </w:style>
  <w:style w:type="character" w:default="1" w:styleId="27">
    <w:name w:val="Default Paragraph Font"/>
    <w:semiHidden/>
    <w:unhideWhenUsed/>
    <w:uiPriority w:val="2"/>
  </w:style>
  <w:style w:type="table" w:default="1" w:styleId="30">
    <w:name w:val="Normal Table"/>
    <w:qFormat/>
    <w:uiPriority w:val="37"/>
    <w:tblPr>
      <w:tblLayout w:type="fixed"/>
      <w:tblCellMar>
        <w:top w:w="0" w:type="dxa"/>
        <w:left w:w="108" w:type="dxa"/>
        <w:bottom w:w="0" w:type="dxa"/>
        <w:right w:w="108" w:type="dxa"/>
      </w:tblCellMar>
    </w:tblPr>
  </w:style>
  <w:style w:type="paragraph" w:styleId="11">
    <w:name w:val="toc 7"/>
    <w:next w:val="1"/>
    <w:unhideWhenUsed/>
    <w:qFormat/>
    <w:uiPriority w:val="34"/>
    <w:pPr>
      <w:widowControl/>
      <w:wordWrap/>
      <w:autoSpaceDE/>
      <w:autoSpaceDN/>
      <w:ind w:left="2550" w:firstLine="0"/>
      <w:jc w:val="both"/>
    </w:pPr>
    <w:rPr>
      <w:rFonts w:ascii="Calibri" w:hAnsi="Calibri" w:eastAsia="Times New Roman" w:cs="Times New Roman"/>
      <w:w w:val="100"/>
      <w:sz w:val="21"/>
      <w:szCs w:val="21"/>
      <w:shd w:val="clear"/>
    </w:rPr>
  </w:style>
  <w:style w:type="paragraph" w:styleId="12">
    <w:name w:val="Body Text"/>
    <w:basedOn w:val="1"/>
    <w:qFormat/>
    <w:uiPriority w:val="0"/>
    <w:pPr>
      <w:widowControl w:val="0"/>
      <w:spacing w:line="240" w:lineRule="auto"/>
    </w:pPr>
    <w:rPr>
      <w:rFonts w:eastAsia="黑体"/>
      <w:color w:val="auto"/>
      <w:kern w:val="2"/>
      <w:sz w:val="44"/>
      <w:szCs w:val="24"/>
      <w:u w:val="none" w:color="auto"/>
    </w:rPr>
  </w:style>
  <w:style w:type="paragraph" w:styleId="13">
    <w:name w:val="toc 5"/>
    <w:next w:val="1"/>
    <w:unhideWhenUsed/>
    <w:qFormat/>
    <w:uiPriority w:val="32"/>
    <w:pPr>
      <w:widowControl/>
      <w:wordWrap/>
      <w:autoSpaceDE/>
      <w:autoSpaceDN/>
      <w:ind w:left="1700" w:firstLine="0"/>
      <w:jc w:val="both"/>
    </w:pPr>
    <w:rPr>
      <w:rFonts w:ascii="Calibri" w:hAnsi="Calibri" w:eastAsia="Times New Roman" w:cs="Times New Roman"/>
      <w:w w:val="100"/>
      <w:sz w:val="21"/>
      <w:szCs w:val="21"/>
      <w:shd w:val="clear"/>
    </w:rPr>
  </w:style>
  <w:style w:type="paragraph" w:styleId="14">
    <w:name w:val="toc 3"/>
    <w:next w:val="1"/>
    <w:unhideWhenUsed/>
    <w:qFormat/>
    <w:uiPriority w:val="30"/>
    <w:pPr>
      <w:widowControl/>
      <w:wordWrap/>
      <w:autoSpaceDE/>
      <w:autoSpaceDN/>
      <w:ind w:left="850" w:firstLine="0"/>
      <w:jc w:val="both"/>
    </w:pPr>
    <w:rPr>
      <w:rFonts w:ascii="Calibri" w:hAnsi="Calibri" w:eastAsia="Times New Roman" w:cs="Times New Roman"/>
      <w:w w:val="100"/>
      <w:sz w:val="21"/>
      <w:szCs w:val="21"/>
      <w:shd w:val="clear"/>
    </w:rPr>
  </w:style>
  <w:style w:type="paragraph" w:styleId="15">
    <w:name w:val="toc 8"/>
    <w:next w:val="1"/>
    <w:unhideWhenUsed/>
    <w:qFormat/>
    <w:uiPriority w:val="35"/>
    <w:pPr>
      <w:widowControl/>
      <w:wordWrap/>
      <w:autoSpaceDE/>
      <w:autoSpaceDN/>
      <w:ind w:left="2975" w:firstLine="0"/>
      <w:jc w:val="both"/>
    </w:pPr>
    <w:rPr>
      <w:rFonts w:ascii="Calibri" w:hAnsi="Calibri" w:eastAsia="Times New Roman" w:cs="Times New Roman"/>
      <w:w w:val="100"/>
      <w:sz w:val="21"/>
      <w:szCs w:val="21"/>
      <w:shd w:val="clear"/>
    </w:rPr>
  </w:style>
  <w:style w:type="paragraph" w:styleId="16">
    <w:name w:val="Balloon Text"/>
    <w:basedOn w:val="1"/>
    <w:link w:val="45"/>
    <w:semiHidden/>
    <w:unhideWhenUsed/>
    <w:qFormat/>
    <w:uiPriority w:val="158"/>
    <w:rPr>
      <w:w w:val="100"/>
      <w:sz w:val="18"/>
      <w:szCs w:val="18"/>
      <w:shd w:val="clear"/>
    </w:rPr>
  </w:style>
  <w:style w:type="paragraph" w:styleId="17">
    <w:name w:val="footer"/>
    <w:basedOn w:val="1"/>
    <w:link w:val="43"/>
    <w:semiHidden/>
    <w:unhideWhenUsed/>
    <w:qFormat/>
    <w:uiPriority w:val="154"/>
    <w:pPr>
      <w:widowControl/>
      <w:tabs>
        <w:tab w:val="center" w:pos="4153"/>
        <w:tab w:val="right" w:pos="8306"/>
      </w:tabs>
      <w:wordWrap/>
      <w:autoSpaceDE/>
      <w:autoSpaceDN/>
    </w:pPr>
    <w:rPr>
      <w:w w:val="100"/>
      <w:sz w:val="18"/>
      <w:szCs w:val="18"/>
      <w:shd w:val="clear"/>
    </w:rPr>
  </w:style>
  <w:style w:type="paragraph" w:styleId="18">
    <w:name w:val="header"/>
    <w:basedOn w:val="1"/>
    <w:link w:val="42"/>
    <w:semiHidden/>
    <w:unhideWhenUsed/>
    <w:qFormat/>
    <w:uiPriority w:val="152"/>
    <w:pPr>
      <w:widowControl/>
      <w:tabs>
        <w:tab w:val="center" w:pos="4153"/>
        <w:tab w:val="right" w:pos="8306"/>
      </w:tabs>
      <w:wordWrap/>
      <w:autoSpaceDE/>
      <w:autoSpaceDN/>
      <w:jc w:val="center"/>
    </w:pPr>
    <w:rPr>
      <w:w w:val="100"/>
      <w:sz w:val="18"/>
      <w:szCs w:val="18"/>
      <w:shd w:val="clear"/>
    </w:rPr>
  </w:style>
  <w:style w:type="paragraph" w:styleId="19">
    <w:name w:val="toc 1"/>
    <w:next w:val="1"/>
    <w:unhideWhenUsed/>
    <w:qFormat/>
    <w:uiPriority w:val="28"/>
    <w:pPr>
      <w:widowControl/>
      <w:wordWrap/>
      <w:autoSpaceDE/>
      <w:autoSpaceDN/>
      <w:jc w:val="both"/>
    </w:pPr>
    <w:rPr>
      <w:rFonts w:ascii="Calibri" w:hAnsi="Calibri" w:eastAsia="Times New Roman" w:cs="Times New Roman"/>
      <w:w w:val="100"/>
      <w:sz w:val="21"/>
      <w:szCs w:val="21"/>
      <w:shd w:val="clear"/>
    </w:rPr>
  </w:style>
  <w:style w:type="paragraph" w:styleId="20">
    <w:name w:val="toc 4"/>
    <w:next w:val="1"/>
    <w:unhideWhenUsed/>
    <w:qFormat/>
    <w:uiPriority w:val="31"/>
    <w:pPr>
      <w:widowControl/>
      <w:wordWrap/>
      <w:autoSpaceDE/>
      <w:autoSpaceDN/>
      <w:ind w:left="1275" w:firstLine="0"/>
      <w:jc w:val="both"/>
    </w:pPr>
    <w:rPr>
      <w:rFonts w:ascii="Calibri" w:hAnsi="Calibri" w:eastAsia="Times New Roman" w:cs="Times New Roman"/>
      <w:w w:val="100"/>
      <w:sz w:val="21"/>
      <w:szCs w:val="21"/>
      <w:shd w:val="clear"/>
    </w:rPr>
  </w:style>
  <w:style w:type="paragraph" w:styleId="21">
    <w:name w:val="Subtitle"/>
    <w:qFormat/>
    <w:uiPriority w:val="16"/>
    <w:pPr>
      <w:widowControl/>
      <w:wordWrap/>
      <w:autoSpaceDE/>
      <w:autoSpaceDN/>
      <w:jc w:val="center"/>
    </w:pPr>
    <w:rPr>
      <w:rFonts w:ascii="Calibri" w:hAnsi="Calibri" w:eastAsia="Times New Roman" w:cs="Times New Roman"/>
      <w:w w:val="100"/>
      <w:sz w:val="24"/>
      <w:szCs w:val="24"/>
      <w:shd w:val="clear"/>
    </w:rPr>
  </w:style>
  <w:style w:type="paragraph" w:styleId="22">
    <w:name w:val="toc 6"/>
    <w:next w:val="1"/>
    <w:unhideWhenUsed/>
    <w:qFormat/>
    <w:uiPriority w:val="33"/>
    <w:pPr>
      <w:widowControl/>
      <w:wordWrap/>
      <w:autoSpaceDE/>
      <w:autoSpaceDN/>
      <w:ind w:left="2125" w:firstLine="0"/>
      <w:jc w:val="both"/>
    </w:pPr>
    <w:rPr>
      <w:rFonts w:ascii="Calibri" w:hAnsi="Calibri" w:eastAsia="Times New Roman" w:cs="Times New Roman"/>
      <w:w w:val="100"/>
      <w:sz w:val="21"/>
      <w:szCs w:val="21"/>
      <w:shd w:val="clear"/>
    </w:rPr>
  </w:style>
  <w:style w:type="paragraph" w:styleId="23">
    <w:name w:val="toc 2"/>
    <w:next w:val="1"/>
    <w:unhideWhenUsed/>
    <w:qFormat/>
    <w:uiPriority w:val="29"/>
    <w:pPr>
      <w:widowControl/>
      <w:wordWrap/>
      <w:autoSpaceDE/>
      <w:autoSpaceDN/>
      <w:ind w:left="425" w:firstLine="0"/>
      <w:jc w:val="both"/>
    </w:pPr>
    <w:rPr>
      <w:rFonts w:ascii="Calibri" w:hAnsi="Calibri" w:eastAsia="Times New Roman" w:cs="Times New Roman"/>
      <w:w w:val="100"/>
      <w:sz w:val="21"/>
      <w:szCs w:val="21"/>
      <w:shd w:val="clear"/>
    </w:rPr>
  </w:style>
  <w:style w:type="paragraph" w:styleId="24">
    <w:name w:val="toc 9"/>
    <w:next w:val="1"/>
    <w:unhideWhenUsed/>
    <w:qFormat/>
    <w:uiPriority w:val="36"/>
    <w:pPr>
      <w:widowControl/>
      <w:wordWrap/>
      <w:autoSpaceDE/>
      <w:autoSpaceDN/>
      <w:ind w:left="3400" w:firstLine="0"/>
      <w:jc w:val="both"/>
    </w:pPr>
    <w:rPr>
      <w:rFonts w:ascii="Calibri" w:hAnsi="Calibri" w:eastAsia="Times New Roman" w:cs="Times New Roman"/>
      <w:w w:val="100"/>
      <w:sz w:val="21"/>
      <w:szCs w:val="21"/>
      <w:shd w:val="clear"/>
    </w:rPr>
  </w:style>
  <w:style w:type="paragraph" w:styleId="25">
    <w:name w:val="Normal (Web)"/>
    <w:basedOn w:val="1"/>
    <w:semiHidden/>
    <w:unhideWhenUsed/>
    <w:qFormat/>
    <w:uiPriority w:val="156"/>
    <w:rPr>
      <w:rFonts w:ascii="宋体" w:hAnsi="宋体" w:eastAsia="宋体"/>
      <w:w w:val="100"/>
      <w:sz w:val="24"/>
      <w:szCs w:val="24"/>
      <w:shd w:val="clear"/>
    </w:rPr>
  </w:style>
  <w:style w:type="paragraph" w:styleId="26">
    <w:name w:val="Title"/>
    <w:qFormat/>
    <w:uiPriority w:val="6"/>
    <w:pPr>
      <w:widowControl/>
      <w:wordWrap/>
      <w:autoSpaceDE/>
      <w:autoSpaceDN/>
      <w:jc w:val="center"/>
    </w:pPr>
    <w:rPr>
      <w:rFonts w:ascii="Calibri" w:hAnsi="Calibri" w:eastAsia="Times New Roman" w:cs="Times New Roman"/>
      <w:b/>
      <w:w w:val="100"/>
      <w:sz w:val="32"/>
      <w:szCs w:val="32"/>
      <w:shd w:val="clear"/>
    </w:rPr>
  </w:style>
  <w:style w:type="character" w:styleId="28">
    <w:name w:val="Strong"/>
    <w:basedOn w:val="27"/>
    <w:qFormat/>
    <w:uiPriority w:val="20"/>
    <w:rPr>
      <w:b/>
      <w:w w:val="100"/>
      <w:sz w:val="20"/>
      <w:szCs w:val="20"/>
      <w:shd w:val="clear" w:color="000000"/>
    </w:rPr>
  </w:style>
  <w:style w:type="character" w:styleId="29">
    <w:name w:val="Emphasis"/>
    <w:qFormat/>
    <w:uiPriority w:val="18"/>
    <w:rPr>
      <w:i/>
      <w:w w:val="100"/>
      <w:sz w:val="21"/>
      <w:szCs w:val="21"/>
      <w:shd w:val="clear" w:color="000000"/>
    </w:rPr>
  </w:style>
  <w:style w:type="table" w:styleId="31">
    <w:name w:val="Table Grid"/>
    <w:basedOn w:val="30"/>
    <w:qFormat/>
    <w:uiPriority w:val="38"/>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paragraph" w:styleId="32">
    <w:name w:val="No Spacing"/>
    <w:qFormat/>
    <w:uiPriority w:val="5"/>
    <w:pPr>
      <w:widowControl/>
      <w:wordWrap/>
      <w:autoSpaceDE/>
      <w:autoSpaceDN/>
      <w:jc w:val="both"/>
    </w:pPr>
    <w:rPr>
      <w:rFonts w:ascii="Calibri" w:hAnsi="Calibri" w:eastAsia="Times New Roman" w:cs="Times New Roman"/>
      <w:w w:val="100"/>
      <w:sz w:val="21"/>
      <w:szCs w:val="21"/>
      <w:shd w:val="clear"/>
    </w:rPr>
  </w:style>
  <w:style w:type="character" w:customStyle="1" w:styleId="33">
    <w:name w:val="Subtle Emphasis"/>
    <w:qFormat/>
    <w:uiPriority w:val="17"/>
    <w:rPr>
      <w:i/>
      <w:color w:val="404040"/>
      <w:w w:val="100"/>
      <w:sz w:val="21"/>
      <w:szCs w:val="21"/>
      <w:shd w:val="clear" w:color="000000"/>
    </w:rPr>
  </w:style>
  <w:style w:type="character" w:customStyle="1" w:styleId="34">
    <w:name w:val="Intense Emphasis"/>
    <w:qFormat/>
    <w:uiPriority w:val="19"/>
    <w:rPr>
      <w:i/>
      <w:color w:val="5B9BD5"/>
      <w:w w:val="100"/>
      <w:sz w:val="21"/>
      <w:szCs w:val="21"/>
      <w:shd w:val="clear" w:color="000000"/>
    </w:rPr>
  </w:style>
  <w:style w:type="paragraph" w:styleId="35">
    <w:name w:val="Quote"/>
    <w:qFormat/>
    <w:uiPriority w:val="21"/>
    <w:pPr>
      <w:widowControl/>
      <w:wordWrap/>
      <w:autoSpaceDE/>
      <w:autoSpaceDN/>
      <w:ind w:left="864" w:right="864" w:firstLine="0"/>
      <w:jc w:val="center"/>
    </w:pPr>
    <w:rPr>
      <w:rFonts w:ascii="Calibri" w:hAnsi="Calibri" w:eastAsia="Times New Roman" w:cs="Times New Roman"/>
      <w:i/>
      <w:color w:val="404040"/>
      <w:w w:val="100"/>
      <w:sz w:val="20"/>
      <w:szCs w:val="20"/>
      <w:shd w:val="clear"/>
    </w:rPr>
  </w:style>
  <w:style w:type="paragraph" w:styleId="36">
    <w:name w:val="Intense Quote"/>
    <w:qFormat/>
    <w:uiPriority w:val="22"/>
    <w:pPr>
      <w:widowControl/>
      <w:wordWrap/>
      <w:autoSpaceDE/>
      <w:autoSpaceDN/>
      <w:ind w:left="950" w:right="950" w:firstLine="0"/>
      <w:jc w:val="center"/>
    </w:pPr>
    <w:rPr>
      <w:rFonts w:ascii="Calibri" w:hAnsi="Calibri" w:eastAsia="Times New Roman" w:cs="Times New Roman"/>
      <w:i/>
      <w:color w:val="5B9BD5"/>
      <w:w w:val="100"/>
      <w:sz w:val="20"/>
      <w:szCs w:val="20"/>
      <w:shd w:val="clear"/>
    </w:rPr>
  </w:style>
  <w:style w:type="character" w:customStyle="1" w:styleId="37">
    <w:name w:val="Subtle Reference"/>
    <w:qFormat/>
    <w:uiPriority w:val="23"/>
    <w:rPr>
      <w:smallCaps/>
      <w:color w:val="5A5A5A"/>
      <w:w w:val="100"/>
      <w:sz w:val="21"/>
      <w:szCs w:val="21"/>
      <w:shd w:val="clear" w:color="000000"/>
    </w:rPr>
  </w:style>
  <w:style w:type="character" w:customStyle="1" w:styleId="38">
    <w:name w:val="Intense Reference"/>
    <w:qFormat/>
    <w:uiPriority w:val="24"/>
    <w:rPr>
      <w:b/>
      <w:smallCaps/>
      <w:color w:val="5B9BD5"/>
      <w:w w:val="100"/>
      <w:sz w:val="21"/>
      <w:szCs w:val="21"/>
      <w:shd w:val="clear" w:color="000000"/>
    </w:rPr>
  </w:style>
  <w:style w:type="character" w:customStyle="1" w:styleId="39">
    <w:name w:val="Book Title"/>
    <w:qFormat/>
    <w:uiPriority w:val="25"/>
    <w:rPr>
      <w:b/>
      <w:i/>
      <w:w w:val="100"/>
      <w:sz w:val="21"/>
      <w:szCs w:val="21"/>
      <w:shd w:val="clear" w:color="000000"/>
    </w:rPr>
  </w:style>
  <w:style w:type="paragraph" w:styleId="40">
    <w:name w:val="List Paragraph"/>
    <w:basedOn w:val="1"/>
    <w:qFormat/>
    <w:uiPriority w:val="26"/>
    <w:pPr>
      <w:widowControl/>
      <w:wordWrap/>
      <w:autoSpaceDE/>
      <w:autoSpaceDN/>
      <w:ind w:firstLine="420"/>
    </w:pPr>
  </w:style>
  <w:style w:type="paragraph" w:customStyle="1" w:styleId="41">
    <w:name w:val="TOC Heading"/>
    <w:unhideWhenUsed/>
    <w:qFormat/>
    <w:uiPriority w:val="27"/>
    <w:pPr>
      <w:widowControl/>
      <w:wordWrap/>
      <w:autoSpaceDE/>
      <w:autoSpaceDN/>
    </w:pPr>
    <w:rPr>
      <w:rFonts w:ascii="Calibri" w:hAnsi="Calibri" w:eastAsia="Times New Roman" w:cs="Times New Roman"/>
      <w:color w:val="2E74B5"/>
      <w:w w:val="100"/>
      <w:sz w:val="32"/>
      <w:szCs w:val="32"/>
      <w:shd w:val="clear"/>
    </w:rPr>
  </w:style>
  <w:style w:type="character" w:customStyle="1" w:styleId="42">
    <w:name w:val="页眉 Char"/>
    <w:basedOn w:val="27"/>
    <w:link w:val="18"/>
    <w:semiHidden/>
    <w:qFormat/>
    <w:uiPriority w:val="153"/>
    <w:rPr>
      <w:w w:val="100"/>
      <w:sz w:val="18"/>
      <w:szCs w:val="18"/>
      <w:shd w:val="clear" w:color="000000"/>
    </w:rPr>
  </w:style>
  <w:style w:type="character" w:customStyle="1" w:styleId="43">
    <w:name w:val="页脚 Char"/>
    <w:basedOn w:val="27"/>
    <w:link w:val="17"/>
    <w:semiHidden/>
    <w:qFormat/>
    <w:uiPriority w:val="155"/>
    <w:rPr>
      <w:w w:val="100"/>
      <w:sz w:val="18"/>
      <w:szCs w:val="18"/>
      <w:shd w:val="clear" w:color="000000"/>
    </w:rPr>
  </w:style>
  <w:style w:type="character" w:customStyle="1" w:styleId="44">
    <w:name w:val="apple-converted-space"/>
    <w:basedOn w:val="27"/>
    <w:qFormat/>
    <w:uiPriority w:val="157"/>
  </w:style>
  <w:style w:type="character" w:customStyle="1" w:styleId="45">
    <w:name w:val="批注框文本 Char"/>
    <w:basedOn w:val="27"/>
    <w:link w:val="16"/>
    <w:semiHidden/>
    <w:qFormat/>
    <w:uiPriority w:val="159"/>
    <w:rPr>
      <w:rFonts w:ascii="Times New Roman" w:hAnsi="Times New Roman" w:eastAsia="Times New Roman"/>
      <w:w w:val="100"/>
      <w:sz w:val="18"/>
      <w:szCs w:val="18"/>
      <w:shd w:val="cle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Microsoft</Company>
  <Pages>15</Pages>
  <Words>5639</Words>
  <Characters>6551</Characters>
  <Lines>7</Lines>
  <Paragraphs>13</Paragraphs>
  <TotalTime>0</TotalTime>
  <ScaleCrop>false</ScaleCrop>
  <LinksUpToDate>false</LinksUpToDate>
  <CharactersWithSpaces>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2018-07-04T01:20:00Z</dcterms:created>
  <dc:creator>Microsoft</dc:creator>
  <cp:lastModifiedBy>Administrator</cp:lastModifiedBy>
  <dcterms:modified xsi:type="dcterms:W3CDTF">2018-07-04T01:52:58Z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