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通如皋环〔2021〕15号</w:t>
      </w:r>
    </w:p>
    <w:p>
      <w:pPr>
        <w:spacing w:line="580" w:lineRule="exact"/>
        <w:jc w:val="center"/>
        <w:rPr>
          <w:rFonts w:ascii="方正小标宋_GBK" w:hAnsi="Times New Roman" w:eastAsia="方正小标宋_GBK" w:cstheme="minorBidi"/>
          <w:sz w:val="44"/>
          <w:szCs w:val="44"/>
        </w:rPr>
      </w:pPr>
    </w:p>
    <w:p>
      <w:pPr>
        <w:spacing w:line="580" w:lineRule="exact"/>
        <w:jc w:val="center"/>
        <w:rPr>
          <w:rFonts w:ascii="方正小标宋_GBK" w:hAnsi="Times New Roman" w:eastAsia="方正小标宋_GBK" w:cstheme="minorBidi"/>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关于印发《如皋市重点环境风险企业环境安全隐患排查暨“八查八改”回头看实施方案》的通知</w:t>
      </w:r>
    </w:p>
    <w:p>
      <w:pPr>
        <w:spacing w:line="580" w:lineRule="exact"/>
        <w:ind w:firstLine="640" w:firstLineChars="200"/>
        <w:rPr>
          <w:rFonts w:ascii="方正仿宋_GBK" w:eastAsia="方正仿宋_GBK" w:hAnsiTheme="minorHAnsi" w:cstheme="minorBidi"/>
          <w:sz w:val="32"/>
          <w:szCs w:val="32"/>
        </w:rPr>
      </w:pPr>
    </w:p>
    <w:p>
      <w:pPr>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各相关单位、各执法分局：</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巩固污染防治攻坚战成果，强化提升各地环境应急重点工作水平和重点企业环境风险防控能力，根据《2021年南通市环境应急管理工作要点》《关于进一步明确突发环境事件隐患排查整治行动工作要求的通知》等相关文件要求，对“八查八改”发现的隐患问题进行“回头看”，抽查重点环境风险企业环境安全隐患整改落实情况。现将《如皋市重点环境风险企业环境安全隐患排查暨“八查八改”回头看实施方案》印发给你们，请结合实际，认真组织实施。</w:t>
      </w:r>
    </w:p>
    <w:p>
      <w:pPr>
        <w:spacing w:line="580" w:lineRule="exact"/>
        <w:ind w:firstLine="640" w:firstLineChars="200"/>
        <w:jc w:val="left"/>
        <w:rPr>
          <w:rFonts w:hint="eastAsia" w:ascii="仿宋_GB2312" w:hAnsi="仿宋_GB2312" w:eastAsia="仿宋_GB2312" w:cs="仿宋_GB2312"/>
          <w:sz w:val="32"/>
          <w:szCs w:val="32"/>
        </w:rPr>
      </w:pPr>
    </w:p>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附件：如皋市重点环境风险企业环境安全隐患排查暨“八查八改”回头看实施方案</w:t>
      </w:r>
    </w:p>
    <w:p>
      <w:pPr>
        <w:spacing w:line="590" w:lineRule="exact"/>
        <w:rPr>
          <w:rFonts w:hint="eastAsia" w:ascii="仿宋_GB2312" w:hAnsi="仿宋_GB2312" w:eastAsia="仿宋_GB2312" w:cs="仿宋_GB2312"/>
          <w:sz w:val="32"/>
          <w:szCs w:val="32"/>
        </w:rPr>
      </w:pPr>
    </w:p>
    <w:p>
      <w:pPr>
        <w:spacing w:line="590" w:lineRule="exact"/>
        <w:rPr>
          <w:rFonts w:hint="eastAsia" w:ascii="仿宋_GB2312" w:hAnsi="仿宋_GB2312" w:eastAsia="仿宋_GB2312" w:cs="仿宋_GB2312"/>
          <w:sz w:val="32"/>
          <w:szCs w:val="32"/>
        </w:rPr>
      </w:pPr>
    </w:p>
    <w:p>
      <w:pPr>
        <w:spacing w:line="590" w:lineRule="exact"/>
        <w:rPr>
          <w:rFonts w:hint="eastAsia" w:ascii="仿宋_GB2312" w:hAnsi="仿宋_GB2312" w:eastAsia="仿宋_GB2312" w:cs="仿宋_GB2312"/>
          <w:sz w:val="32"/>
          <w:szCs w:val="32"/>
        </w:rPr>
      </w:pPr>
    </w:p>
    <w:p>
      <w:pPr>
        <w:spacing w:line="548" w:lineRule="exact"/>
        <w:ind w:firstLine="3968" w:firstLineChars="12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南通市如皋生态环境局</w:t>
      </w:r>
    </w:p>
    <w:p>
      <w:pPr>
        <w:spacing w:line="548" w:lineRule="exact"/>
        <w:ind w:firstLine="3968" w:firstLineChars="1240"/>
        <w:jc w:val="center"/>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2021年4月22日</w:t>
      </w: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p>
    <w:p>
      <w:pPr>
        <w:spacing w:line="590" w:lineRule="exact"/>
        <w:jc w:val="center"/>
        <w:rPr>
          <w:rFonts w:ascii="方正小标宋_GBK" w:hAnsi="Times New Roman" w:eastAsia="方正小标宋_GBK" w:cstheme="minorBidi"/>
          <w:sz w:val="44"/>
          <w:szCs w:val="44"/>
        </w:rPr>
      </w:pPr>
      <w:r>
        <w:rPr>
          <w:rFonts w:hint="eastAsia" w:ascii="方正小标宋_GBK" w:hAnsi="Times New Roman" w:eastAsia="方正小标宋_GBK" w:cstheme="minorBidi"/>
          <w:sz w:val="44"/>
          <w:szCs w:val="44"/>
        </w:rPr>
        <w:t>如皋市重点环境风险企业环境安全</w:t>
      </w:r>
    </w:p>
    <w:p>
      <w:pPr>
        <w:spacing w:line="590" w:lineRule="exact"/>
        <w:jc w:val="center"/>
        <w:rPr>
          <w:rFonts w:ascii="Times New Roman" w:hAnsi="Times New Roman" w:eastAsia="方正仿宋_GBK"/>
          <w:sz w:val="32"/>
          <w:szCs w:val="32"/>
        </w:rPr>
      </w:pPr>
      <w:r>
        <w:rPr>
          <w:rFonts w:hint="eastAsia" w:ascii="方正小标宋_GBK" w:hAnsi="Times New Roman" w:eastAsia="方正小标宋_GBK" w:cstheme="minorBidi"/>
          <w:sz w:val="44"/>
          <w:szCs w:val="44"/>
        </w:rPr>
        <w:t>隐患排查暨“八查八改”回头看实施方案</w:t>
      </w:r>
    </w:p>
    <w:p>
      <w:pPr>
        <w:spacing w:line="580" w:lineRule="exact"/>
        <w:ind w:firstLine="640" w:firstLineChars="200"/>
        <w:rPr>
          <w:rFonts w:ascii="方正仿宋_GBK" w:eastAsia="方正仿宋_GBK" w:hAnsiTheme="minorHAnsi" w:cstheme="minorBidi"/>
          <w:sz w:val="32"/>
          <w:szCs w:val="32"/>
        </w:rPr>
      </w:pP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为全面贯彻落实习近平总书记关于生态文明重要论述和批示指示精神，巩固我市“十三五”期间环境应急工作成果，进一步提升重点企业环境风险防控能力，坚决守牢生态环境底线，</w:t>
      </w:r>
      <w:r>
        <w:rPr>
          <w:rFonts w:hint="default" w:ascii="Times New Roman" w:hAnsi="Times New Roman" w:eastAsia="仿宋_GB2312" w:cs="Times New Roman"/>
          <w:sz w:val="32"/>
          <w:szCs w:val="32"/>
        </w:rPr>
        <w:t>以优异成绩迎接建党100周年。</w:t>
      </w:r>
      <w:r>
        <w:rPr>
          <w:rFonts w:hint="default" w:ascii="Times New Roman" w:hAnsi="Times New Roman" w:eastAsia="仿宋_GB2312" w:cs="Times New Roman"/>
          <w:color w:val="000000"/>
          <w:sz w:val="32"/>
          <w:szCs w:val="32"/>
        </w:rPr>
        <w:t>经研究，</w:t>
      </w:r>
      <w:r>
        <w:rPr>
          <w:rFonts w:hint="default" w:ascii="Times New Roman" w:hAnsi="Times New Roman" w:eastAsia="仿宋_GB2312" w:cs="Times New Roman"/>
          <w:sz w:val="32"/>
          <w:szCs w:val="32"/>
        </w:rPr>
        <w:t>决定自即日起至9月底前</w:t>
      </w:r>
      <w:r>
        <w:rPr>
          <w:rFonts w:hint="default" w:ascii="Times New Roman" w:hAnsi="Times New Roman" w:eastAsia="仿宋_GB2312" w:cs="Times New Roman"/>
          <w:color w:val="000000"/>
          <w:sz w:val="32"/>
          <w:szCs w:val="32"/>
        </w:rPr>
        <w:t>，集中</w:t>
      </w:r>
      <w:r>
        <w:rPr>
          <w:rFonts w:hint="default" w:ascii="Times New Roman" w:hAnsi="Times New Roman" w:eastAsia="仿宋_GB2312" w:cs="Times New Roman"/>
          <w:sz w:val="32"/>
          <w:szCs w:val="32"/>
        </w:rPr>
        <w:t>开展如皋市重点环境风险企业环境安全隐患排查暨“八查八改”回头看，具体方案如下</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一、总体要求</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围绕“消隐患、强实战、抓保障”三个目标，</w:t>
      </w:r>
      <w:r>
        <w:rPr>
          <w:rFonts w:hint="default" w:ascii="Times New Roman" w:hAnsi="Times New Roman" w:eastAsia="仿宋_GB2312" w:cs="Times New Roman"/>
          <w:color w:val="000000"/>
          <w:sz w:val="32"/>
          <w:szCs w:val="32"/>
        </w:rPr>
        <w:t>全面摸清全市重点环境风险企业环境安全风险防控管理现状，建立完善隐患排查整治常态化工作体系，全面提高重点环境风险企业</w:t>
      </w:r>
      <w:r>
        <w:rPr>
          <w:rFonts w:hint="default" w:ascii="Times New Roman" w:hAnsi="Times New Roman" w:eastAsia="仿宋_GB2312" w:cs="Times New Roman"/>
          <w:sz w:val="32"/>
          <w:szCs w:val="32"/>
        </w:rPr>
        <w:t>环境应急管理水平</w:t>
      </w:r>
      <w:r>
        <w:rPr>
          <w:rFonts w:hint="default" w:ascii="Times New Roman" w:hAnsi="Times New Roman" w:eastAsia="仿宋_GB2312" w:cs="Times New Roman"/>
          <w:color w:val="000000"/>
          <w:sz w:val="32"/>
          <w:szCs w:val="32"/>
        </w:rPr>
        <w:t>，切实落实环境安全工作责任，</w:t>
      </w:r>
      <w:r>
        <w:rPr>
          <w:rFonts w:hint="default" w:ascii="Times New Roman" w:hAnsi="Times New Roman" w:eastAsia="仿宋_GB2312" w:cs="Times New Roman"/>
          <w:sz w:val="32"/>
          <w:szCs w:val="32"/>
        </w:rPr>
        <w:t>为全市高质量发展提供坚实基础。</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二、实施对象</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全市较大等级以上环境风险企业（名单见附件1）以及已完成环境安全达标建设及“八查八改”重点环境风险企业（名单见附件2）。</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三、重点工作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开展环境安全隐患问题自查自纠自改，督促重点企业落实环境安全隐患排查主体责任；对“八查八改”发现的环境安全隐患问题进行“回头看”，检查企业环境安全隐患整改落实情况，督促企业整改闭环，原隐患问题整改率达100%。</w:t>
      </w:r>
    </w:p>
    <w:p>
      <w:pPr>
        <w:keepNext w:val="0"/>
        <w:keepLines w:val="0"/>
        <w:pageBreakBefore w:val="0"/>
        <w:widowControl w:val="0"/>
        <w:numPr>
          <w:ilvl w:val="0"/>
          <w:numId w:val="1"/>
        </w:numPr>
        <w:kinsoku/>
        <w:wordWrap/>
        <w:overflowPunct/>
        <w:topLinePunct w:val="0"/>
        <w:autoSpaceDE/>
        <w:autoSpaceDN/>
        <w:bidi w:val="0"/>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阶段划分</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第一阶段：自查自纠自改（5月20日前）。</w:t>
      </w:r>
      <w:r>
        <w:rPr>
          <w:rFonts w:hint="default" w:ascii="Times New Roman" w:hAnsi="Times New Roman" w:eastAsia="仿宋_GB2312" w:cs="Times New Roman"/>
          <w:sz w:val="32"/>
          <w:szCs w:val="32"/>
        </w:rPr>
        <w:t>全市较大等级以上环境风险企业(包含已完成环境安全达标建设及“八查八改”重点环境风险企业)，按照“真实、有效”的原则，对环境安全隐患防范工作落实情况进行全面彻底的自查，同时制定整改计划，确保问题整改到位。对环境安全隐患排查治理工作情况进行总结，内容包括工作组织落实情况、隐患排查情况、重大环境安全隐患及整改情况等，如实填报《企业突发环境事件应急管理隐患排查表》（附件3）和《企业突发环境事件风险防控措施隐患排查表》（附件4），并于5月20日前将所填表格签字盖章后送至如皋生态环境应急管理部门。</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第二阶段：闭环情况核实（6月底前）。</w:t>
      </w:r>
      <w:r>
        <w:rPr>
          <w:rFonts w:hint="default" w:ascii="Times New Roman" w:hAnsi="Times New Roman" w:eastAsia="仿宋_GB2312" w:cs="Times New Roman"/>
          <w:sz w:val="32"/>
          <w:szCs w:val="32"/>
        </w:rPr>
        <w:t>各执法分局要根据要求，迅速组织开展企业环境安全隐患排查暨“八查八改”回头看，在本辖区企事业单位自查自改的基础上，对照“八查八改”原专家现场核查意见，对核查意见中企业环境安全隐患整改落实情况进行检查，对未开展隐患再排查、逾期未完成整改等未按规定及时开展相关工作的企业，按照环保部《突发环境事件应急管理办法》等有关规定严肃查处。执法检查情况于今年6月28日前将《企业环境安全隐患整改闭环情况汇总表》（附件5）上报至如皋生态环境应急管理部门。</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第三阶段：总结评估报告（9月底前）。</w:t>
      </w:r>
      <w:r>
        <w:rPr>
          <w:rFonts w:hint="default" w:ascii="Times New Roman" w:hAnsi="Times New Roman" w:eastAsia="仿宋_GB2312" w:cs="Times New Roman"/>
          <w:sz w:val="32"/>
          <w:szCs w:val="32"/>
        </w:rPr>
        <w:t>市级生态环境部门将全市较大等级以上环境风险企业隐患排查情况、“八查八改”回头看开展情况及工作质量实施全过程督导。如皋生态环境应急管理部门按时间要求报送阶段性总结报告，9月底前提交总结评估报告。对于工作开展不认真、隐患整改不到位、违法行为查处不力的辖区分局，本级生态环境部门将进行书面通报；9月底，市级生态环境部门将对“八查八改”回头看工作开展督查，问题整改情况纳入环境应急管理工作年度考核，逾期整改不到位的，将作为突出环境问题移交江苏省污染防治综合监管平台督办。</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五、有关要求</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（一）加强组织领导。</w:t>
      </w:r>
      <w:r>
        <w:rPr>
          <w:rFonts w:hint="default" w:ascii="Times New Roman" w:hAnsi="Times New Roman" w:eastAsia="仿宋_GB2312" w:cs="Times New Roman"/>
          <w:sz w:val="32"/>
          <w:szCs w:val="32"/>
        </w:rPr>
        <w:t>各重点企业要高度重视此次专项行动，进行全面彻底的环境安全隐患排查，制定隐患排查实施方案，细化落实工作责任，明确工作计划。对排查发现的预案问题和隐患梳理形成清单，提出限期整改要求并专人跟踪督查，确保按期整改到位。</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（二）强化问题闭环。</w:t>
      </w:r>
      <w:r>
        <w:rPr>
          <w:rFonts w:hint="default" w:ascii="Times New Roman" w:hAnsi="Times New Roman" w:eastAsia="仿宋_GB2312" w:cs="Times New Roman"/>
          <w:sz w:val="32"/>
          <w:szCs w:val="32"/>
        </w:rPr>
        <w:t>各执法分局要督促相关责任主体单位落实隐患排查主体责任，深入开展自查自纠，对原“八查八改”行动中发现的隐患问题督促企业整改闭环。对未按规定开展相关隐患排查工作和“八查八改”隐患问题仍未整改的主体，要按照《突发环境事件应急管理办法》等有关规定严肃查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（三）定期报告进度。</w:t>
      </w:r>
      <w:r>
        <w:rPr>
          <w:rFonts w:hint="default" w:ascii="Times New Roman" w:hAnsi="Times New Roman" w:eastAsia="仿宋_GB2312" w:cs="Times New Roman"/>
          <w:sz w:val="32"/>
          <w:szCs w:val="32"/>
        </w:rPr>
        <w:t>专项行动开展期间，各重点企业将隐患排查情况（附件3、4），于5月20日前报送至如皋生态环境应急管理部门；各执法分局将企业环境安全隐患整改闭环情况（附件5），于6月28日前报送至如皋生态环境应急管理部门；如皋生态环境应急管理部门按时间要求报送阶段性总结报告，9月底前提交总结评估报告，总结评估报告内容包含专项行动工作部署、隐患问题清单及整改进度、典型经验做法、工作建议与意见等。</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附件：1、全市较大等级以上环境风险企业名单</w:t>
      </w:r>
    </w:p>
    <w:p>
      <w:pPr>
        <w:keepNext w:val="0"/>
        <w:keepLines w:val="0"/>
        <w:pageBreakBefore w:val="0"/>
        <w:widowControl w:val="0"/>
        <w:kinsoku/>
        <w:wordWrap/>
        <w:overflowPunct/>
        <w:topLinePunct w:val="0"/>
        <w:autoSpaceDE/>
        <w:autoSpaceDN/>
        <w:bidi w:val="0"/>
        <w:snapToGrid/>
        <w:spacing w:line="560" w:lineRule="exact"/>
        <w:ind w:left="1440" w:hanging="1440" w:hangingChars="4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2、完成环境安全达标建设及“八查八改”重点环境风险企业名单</w:t>
      </w:r>
    </w:p>
    <w:p>
      <w:pPr>
        <w:keepNext w:val="0"/>
        <w:keepLines w:val="0"/>
        <w:pageBreakBefore w:val="0"/>
        <w:widowControl w:val="0"/>
        <w:kinsoku/>
        <w:wordWrap/>
        <w:overflowPunct/>
        <w:topLinePunct w:val="0"/>
        <w:autoSpaceDE/>
        <w:autoSpaceDN/>
        <w:bidi w:val="0"/>
        <w:snapToGrid/>
        <w:spacing w:line="560" w:lineRule="exact"/>
        <w:ind w:firstLine="960" w:firstLineChars="3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3、企业突发环境事件应急管理隐患排查表</w:t>
      </w:r>
    </w:p>
    <w:p>
      <w:pPr>
        <w:keepNext w:val="0"/>
        <w:keepLines w:val="0"/>
        <w:pageBreakBefore w:val="0"/>
        <w:widowControl w:val="0"/>
        <w:kinsoku/>
        <w:wordWrap/>
        <w:overflowPunct/>
        <w:topLinePunct w:val="0"/>
        <w:autoSpaceDE/>
        <w:autoSpaceDN/>
        <w:bidi w:val="0"/>
        <w:adjustRightInd w:val="0"/>
        <w:snapToGrid/>
        <w:spacing w:line="560" w:lineRule="exact"/>
        <w:jc w:val="left"/>
        <w:textAlignment w:val="auto"/>
        <w:rPr>
          <w:rFonts w:hint="default" w:ascii="Times New Roman" w:hAnsi="Times New Roman" w:eastAsia="仿宋_GB2312" w:cs="Times New Roman"/>
          <w:color w:val="000000"/>
          <w:sz w:val="38"/>
          <w:szCs w:val="38"/>
        </w:rPr>
      </w:pPr>
      <w:r>
        <w:rPr>
          <w:rFonts w:hint="default" w:ascii="Times New Roman" w:hAnsi="Times New Roman" w:eastAsia="仿宋_GB2312" w:cs="Times New Roman"/>
          <w:sz w:val="32"/>
          <w:szCs w:val="32"/>
        </w:rPr>
        <w:t>　　　4、企业突发环境事件风险防控措施隐患排查表</w:t>
      </w:r>
    </w:p>
    <w:p>
      <w:pPr>
        <w:keepNext w:val="0"/>
        <w:keepLines w:val="0"/>
        <w:pageBreakBefore w:val="0"/>
        <w:widowControl w:val="0"/>
        <w:kinsoku/>
        <w:wordWrap/>
        <w:overflowPunct/>
        <w:topLinePunct w:val="0"/>
        <w:autoSpaceDE/>
        <w:autoSpaceDN/>
        <w:bidi w:val="0"/>
        <w:adjustRightInd w:val="0"/>
        <w:snapToGrid/>
        <w:spacing w:line="560"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5、企业环境安全隐患整改闭环情况汇总表</w:t>
      </w:r>
    </w:p>
    <w:p>
      <w:pPr>
        <w:spacing w:line="548" w:lineRule="exact"/>
        <w:rPr>
          <w:rFonts w:hint="eastAsia" w:ascii="仿宋_GB2312" w:hAnsi="仿宋_GB2312" w:eastAsia="仿宋_GB2312" w:cs="仿宋_GB2312"/>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p>
    <w:p>
      <w:pPr>
        <w:spacing w:line="548"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附件1</w:t>
      </w:r>
    </w:p>
    <w:p>
      <w:pPr>
        <w:spacing w:line="548" w:lineRule="exact"/>
        <w:jc w:val="center"/>
        <w:rPr>
          <w:rFonts w:eastAsia="方正小标宋_GBK"/>
          <w:color w:val="000000"/>
          <w:sz w:val="38"/>
          <w:szCs w:val="38"/>
        </w:rPr>
      </w:pPr>
      <w:r>
        <w:rPr>
          <w:rFonts w:hint="eastAsia" w:eastAsia="方正小标宋_GBK"/>
          <w:color w:val="000000"/>
          <w:sz w:val="38"/>
          <w:szCs w:val="38"/>
        </w:rPr>
        <w:t>全市较大等级及以上环境风险企业名单</w:t>
      </w:r>
    </w:p>
    <w:p>
      <w:pPr>
        <w:spacing w:line="548" w:lineRule="exact"/>
        <w:jc w:val="center"/>
        <w:rPr>
          <w:rFonts w:eastAsia="方正小标宋_GBK"/>
          <w:color w:val="000000"/>
          <w:sz w:val="38"/>
          <w:szCs w:val="38"/>
        </w:rPr>
      </w:pPr>
    </w:p>
    <w:tbl>
      <w:tblPr>
        <w:tblStyle w:val="6"/>
        <w:tblW w:w="8819" w:type="dxa"/>
        <w:tblInd w:w="78" w:type="dxa"/>
        <w:tblLayout w:type="autofit"/>
        <w:tblCellMar>
          <w:top w:w="0" w:type="dxa"/>
          <w:left w:w="108" w:type="dxa"/>
          <w:bottom w:w="0" w:type="dxa"/>
          <w:right w:w="108" w:type="dxa"/>
        </w:tblCellMar>
      </w:tblPr>
      <w:tblGrid>
        <w:gridCol w:w="597"/>
        <w:gridCol w:w="3828"/>
        <w:gridCol w:w="815"/>
        <w:gridCol w:w="2020"/>
        <w:gridCol w:w="1559"/>
      </w:tblGrid>
      <w:tr>
        <w:tblPrEx>
          <w:tblCellMar>
            <w:top w:w="0" w:type="dxa"/>
            <w:left w:w="108" w:type="dxa"/>
            <w:bottom w:w="0" w:type="dxa"/>
            <w:right w:w="108" w:type="dxa"/>
          </w:tblCellMar>
        </w:tblPrEx>
        <w:trPr>
          <w:trHeight w:val="340" w:hRule="atLeast"/>
          <w:tblHeader/>
        </w:trPr>
        <w:tc>
          <w:tcPr>
            <w:tcW w:w="597"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序号</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企业名称</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等级</w:t>
            </w:r>
          </w:p>
        </w:tc>
        <w:tc>
          <w:tcPr>
            <w:tcW w:w="2020"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备案编号</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镇（区、街道）</w:t>
            </w:r>
          </w:p>
        </w:tc>
      </w:tr>
      <w:tr>
        <w:tblPrEx>
          <w:tblCellMar>
            <w:top w:w="0" w:type="dxa"/>
            <w:left w:w="108" w:type="dxa"/>
            <w:bottom w:w="0" w:type="dxa"/>
            <w:right w:w="108" w:type="dxa"/>
          </w:tblCellMar>
        </w:tblPrEx>
        <w:trPr>
          <w:trHeight w:val="340" w:hRule="atLeast"/>
        </w:trPr>
        <w:tc>
          <w:tcPr>
            <w:tcW w:w="59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江苏金元亚麻有限公司</w:t>
            </w:r>
          </w:p>
        </w:tc>
        <w:tc>
          <w:tcPr>
            <w:tcW w:w="8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320682-2017-020-H</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如皋市恒丰染整有限公司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320682-2018-021-M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江苏大唐国际如皋热电有限责任公司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320682-2018-022-M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南通德亿新材料有限公司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320682-2018-046-M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如皋市大生线路器材有限公司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320682-2018-047-M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如皋市大昌电子有限公司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320682-2018-061-M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双钱集团（江苏）轮胎有限公司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320682-2018-069-M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南通桑美特机械制造有限公司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320682-2018-070-M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江苏长寿集团有限公司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320682-2018-077-M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如皋恒发水处理有限公司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320682-2018-084-M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江苏联众肠衣有限公司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320682-2019-019-M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南通爱康金属科技有限公司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320682-2019-025-M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南通成安金属材料有限公司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320682-2019-059-M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14</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江苏聚源电气有限公司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320682-2019-068-M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南通创源电化学科技有限公司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320682-2019-078-M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如皋宏皓金属表面水处理有限公司</w:t>
            </w:r>
          </w:p>
        </w:tc>
        <w:tc>
          <w:tcPr>
            <w:tcW w:w="8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320682-2019-113-H</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17</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南通雷成染整有限公司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320682-2020-017-M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18</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南通华灿电讯科技有限公司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320682-2020-021-H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19</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如皋市恒昌印染有限公司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320682-2020-078-M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江苏意瑞达纺织科技有限公司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320682-2021-021-M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城北街道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江苏神马电力股份有限公司如皋分公司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320682-2018-034-M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南通新敦煌染业有限公司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320682-2018-041-M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延康汽车零部件如皋有限公司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320682-2019-022-H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24</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江苏力星通用钢球股份有限公司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320682-2019-088-H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江苏九鼎新材料股份有限公司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320682-2019-102-H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26</w:t>
            </w:r>
          </w:p>
        </w:tc>
        <w:tc>
          <w:tcPr>
            <w:tcW w:w="3828"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南通康比电子有限公司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320682-2020-058-M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27</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南通天睿地垫有限公司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320682-2020-061-M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28</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南通皋鑫电子股份有限公司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320682-2020-085-M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如城街道</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29</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南通市发尔康工贸有限公司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320682-2019-051-M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磨头镇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30</w:t>
            </w:r>
          </w:p>
        </w:tc>
        <w:tc>
          <w:tcPr>
            <w:tcW w:w="3828"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如皋市永祥皮革制品有限公司</w:t>
            </w:r>
          </w:p>
        </w:tc>
        <w:tc>
          <w:tcPr>
            <w:tcW w:w="815"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320682-2018-068-M</w:t>
            </w:r>
          </w:p>
        </w:tc>
        <w:tc>
          <w:tcPr>
            <w:tcW w:w="1559"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石庄镇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31</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如皋市洪涛包装材料厂</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320682-2019-067-H</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石庄镇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32</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如皋市龙阳染整有限公司</w:t>
            </w:r>
          </w:p>
        </w:tc>
        <w:tc>
          <w:tcPr>
            <w:tcW w:w="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320682-2019-103-M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石庄镇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如皋诚信热镀锌有限公司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320682-2020-060-M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石庄镇</w:t>
            </w:r>
          </w:p>
        </w:tc>
      </w:tr>
      <w:tr>
        <w:tblPrEx>
          <w:tblCellMar>
            <w:top w:w="0" w:type="dxa"/>
            <w:left w:w="108" w:type="dxa"/>
            <w:bottom w:w="0" w:type="dxa"/>
            <w:right w:w="108" w:type="dxa"/>
          </w:tblCellMar>
        </w:tblPrEx>
        <w:trPr>
          <w:trHeight w:val="340" w:hRule="atLeast"/>
        </w:trPr>
        <w:tc>
          <w:tcPr>
            <w:tcW w:w="59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34</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南通华亨金属制品有限公司</w:t>
            </w:r>
          </w:p>
        </w:tc>
        <w:tc>
          <w:tcPr>
            <w:tcW w:w="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320682-2018-098-M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35</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江苏闽江矿业有限公司</w:t>
            </w:r>
          </w:p>
        </w:tc>
        <w:tc>
          <w:tcPr>
            <w:tcW w:w="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320682-2018-020-M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36</w:t>
            </w:r>
          </w:p>
        </w:tc>
        <w:tc>
          <w:tcPr>
            <w:tcW w:w="382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如皋港务集团有限公司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320682-2018-062-M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37</w:t>
            </w:r>
          </w:p>
        </w:tc>
        <w:tc>
          <w:tcPr>
            <w:tcW w:w="3828"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江苏和兴炉料有限公司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320682-2020-033-M</w:t>
            </w:r>
          </w:p>
        </w:tc>
        <w:tc>
          <w:tcPr>
            <w:tcW w:w="1559"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38</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如皋新好农牧有限公司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320682-2020-039-M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39</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江苏国胶化学科技有限公司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320682-2018-051-H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双登天鹏冶金江苏有限公司</w:t>
            </w:r>
          </w:p>
        </w:tc>
        <w:tc>
          <w:tcPr>
            <w:tcW w:w="815"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320682-2018-057-M</w:t>
            </w:r>
          </w:p>
        </w:tc>
        <w:tc>
          <w:tcPr>
            <w:tcW w:w="1559"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南通天泽化工有限公司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320682-2019-086-H</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石庄镇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上海电气环保热电（南通）有限公司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320682-2021-018-M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石庄镇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43</w:t>
            </w:r>
          </w:p>
        </w:tc>
        <w:tc>
          <w:tcPr>
            <w:tcW w:w="3828"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江苏隆昌化工有限公司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320682-2018-079-H</w:t>
            </w:r>
          </w:p>
        </w:tc>
        <w:tc>
          <w:tcPr>
            <w:tcW w:w="1559"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44</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南通九洲环保科技有限公司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320682-2018-087-M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45</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南通市玛盛环保科技有限公司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320682-2020-013-M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石庄镇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46</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如皋市富港水处理有限公司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320682-2019-004-M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47</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南通波涛化工有限公司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320682-2019-032-H</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48</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江苏康恒化工有限公司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320682-2019-066-H</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50</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德源（中国）高科有限公司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320682-2019-070-H</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51</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江苏阳恒化工有限公司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320682-2019-072-M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52</w:t>
            </w:r>
          </w:p>
        </w:tc>
        <w:tc>
          <w:tcPr>
            <w:tcW w:w="3828"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江苏泰利达新材料股份有限公司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320682-2019-087-M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53</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江苏华电如皋热电有限公司</w:t>
            </w:r>
          </w:p>
        </w:tc>
        <w:tc>
          <w:tcPr>
            <w:tcW w:w="81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320682-2019-089-M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54</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南通意特化工有限公司</w:t>
            </w:r>
          </w:p>
        </w:tc>
        <w:tc>
          <w:tcPr>
            <w:tcW w:w="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320682-2019-090-M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江苏瑞佳新材料有限公司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320682-2019-092-H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易联能源（南通）有限公司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320682-2019-100-H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57</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南通亨得利高分子材料科技有限公司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320682-2019-106-M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58</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南通新邦化工科技有限公司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320682-2020-014-H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59</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南通阳鸿石化储运有限公司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320682-2020-031-H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江苏宏梓新能源科技有限公司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320682-2020-032-M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南通新纳希新材料有限公司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320682-2018-045-H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南通焯晟石油化工有限公司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320682-2020-035-H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江苏宝众宝达药业有限公司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320682-2020-037-H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64</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南通市垃圾处理中心</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320682-2020-038-M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南通百川新材料有限公司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320682-2018-048-H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如皋市富港水处理有限公司（一期）</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320682-2020-040-M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67</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南通东方石油化工港储有限公司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320682-2020-063-H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68</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江苏国胶新材料有限公司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320682-2020-064-H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69</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江苏华灿电讯集团股份有限公司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320682-2020-065-M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南通市远邦石油有限公司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320682-2020-075-M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江苏新瑞药业有限公司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320682-2021-005-M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江苏泰仓农化有限公司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320682-2021-008-H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73</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如皋市长江食品有限公司</w:t>
            </w:r>
          </w:p>
        </w:tc>
        <w:tc>
          <w:tcPr>
            <w:tcW w:w="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320682-2021-010-M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74</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江苏海纶染整有限公司</w:t>
            </w:r>
          </w:p>
        </w:tc>
        <w:tc>
          <w:tcPr>
            <w:tcW w:w="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320682-2021-024-M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长江镇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南通白蒲黄酒有限公司</w:t>
            </w:r>
          </w:p>
        </w:tc>
        <w:tc>
          <w:tcPr>
            <w:tcW w:w="8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320682-2018-010-M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白蒲镇</w:t>
            </w:r>
          </w:p>
        </w:tc>
      </w:tr>
      <w:tr>
        <w:tblPrEx>
          <w:tblCellMar>
            <w:top w:w="0" w:type="dxa"/>
            <w:left w:w="108" w:type="dxa"/>
            <w:bottom w:w="0" w:type="dxa"/>
            <w:right w:w="108" w:type="dxa"/>
          </w:tblCellMar>
        </w:tblPrEx>
        <w:trPr>
          <w:trHeight w:val="340" w:hRule="atLeast"/>
        </w:trPr>
        <w:tc>
          <w:tcPr>
            <w:tcW w:w="59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如皋市泰尔特染整有限公司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320682-2018-016-M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白蒲镇</w:t>
            </w:r>
          </w:p>
        </w:tc>
      </w:tr>
      <w:tr>
        <w:tblPrEx>
          <w:tblCellMar>
            <w:top w:w="0" w:type="dxa"/>
            <w:left w:w="108" w:type="dxa"/>
            <w:bottom w:w="0" w:type="dxa"/>
            <w:right w:w="108" w:type="dxa"/>
          </w:tblCellMar>
        </w:tblPrEx>
        <w:trPr>
          <w:trHeight w:val="340" w:hRule="atLeast"/>
        </w:trPr>
        <w:tc>
          <w:tcPr>
            <w:tcW w:w="59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77</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如皋市春光漂染有限公司</w:t>
            </w:r>
          </w:p>
        </w:tc>
        <w:tc>
          <w:tcPr>
            <w:tcW w:w="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320682-2018-065-M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白蒲镇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78</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南通华东液压铸业有限公司</w:t>
            </w:r>
          </w:p>
        </w:tc>
        <w:tc>
          <w:tcPr>
            <w:tcW w:w="8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320682-2018-086-M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白蒲镇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79</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如皋市盛鸿漂染有限公司</w:t>
            </w:r>
          </w:p>
        </w:tc>
        <w:tc>
          <w:tcPr>
            <w:tcW w:w="8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320682-2018-072-M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如皋市颖佳浆纱厂</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320682-2019-048-M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如皋峰沛装潢布料有限公司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320682-2019-074-M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西东纺织科技如皋有限公司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320682-2019-075-M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如皋市涤渃皂业有限公司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320682-2020-016-H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84</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南通泰利达化工有限公司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320682-2020-029-H</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如皋市高诚精制棉有限公司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320682-2020-059-M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梦百合家居科技股份有限公司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320682-2021-019-M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丁堰镇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87</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如皋南海水处理剂有限公司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320682-2018-023-M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东陈镇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88</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如皋市永益织造有限公司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320682-2018-039-M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东陈镇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89</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江苏金迪特钢有限公司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320682-2018-050-M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东陈镇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南通亚点毛巾染织有限公司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320682-2018-073-M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东陈镇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江苏新核力机电有限公司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320682-2018-094-M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东陈镇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南通冠峰铸造有限公司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320682-2019-037-M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东陈镇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如皋市五山漂染有限责任公司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320682-2021-020-M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东陈镇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94</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南通市汇通印花有限公司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320682-2018-060-M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九华镇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江苏永大化工机械有限公司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320682-2019-020-M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九华镇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江苏翔鹰五金弹簧有限公司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320682-2020-062-M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九华镇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97</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如皋市双荣建材销售有限公司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320682-2019-084-M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吴窑镇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98</w:t>
            </w:r>
          </w:p>
        </w:tc>
        <w:tc>
          <w:tcPr>
            <w:tcW w:w="3828"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如皋市晶诚钙制品有限公司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320682-2019-093-M</w:t>
            </w:r>
          </w:p>
        </w:tc>
        <w:tc>
          <w:tcPr>
            <w:tcW w:w="1559"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吴窑镇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99</w:t>
            </w:r>
          </w:p>
        </w:tc>
        <w:tc>
          <w:tcPr>
            <w:tcW w:w="38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南通龙澄热镀锌有限公司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重大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320682-2018-002-H</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江安镇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100</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南通市金双强染织有限公司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320682-2019-076-M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江安镇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101</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江苏汤臣汽车零部件有限公司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320682-2020-015-M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江安镇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102</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江苏三特绝缘材料有限公司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320682-2018-025-M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搬经镇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103</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南通市银都碳酸钙有限公司</w:t>
            </w:r>
          </w:p>
        </w:tc>
        <w:tc>
          <w:tcPr>
            <w:tcW w:w="8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320682-2018-063-M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rPr>
            </w:pPr>
            <w:r>
              <w:rPr>
                <w:rFonts w:hint="eastAsia" w:ascii="宋体" w:hAnsi="宋体" w:cs="宋体"/>
                <w:kern w:val="0"/>
                <w:szCs w:val="21"/>
              </w:rPr>
              <w:t>搬经镇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104</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南通聚星铸锻有限公司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320682-2018-095-M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搬经镇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105</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南通恒强织造有限公司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320682-2019-012-M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搬经镇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106</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如皋市非标轴承有限公司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320682-2019-038-M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搬经镇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107</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顺帆家庭用品（南通）有限公司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320682-2020-054-M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搬经镇</w:t>
            </w:r>
          </w:p>
        </w:tc>
      </w:tr>
      <w:tr>
        <w:tblPrEx>
          <w:tblCellMar>
            <w:top w:w="0" w:type="dxa"/>
            <w:left w:w="108" w:type="dxa"/>
            <w:bottom w:w="0" w:type="dxa"/>
            <w:right w:w="108" w:type="dxa"/>
          </w:tblCellMar>
        </w:tblPrEx>
        <w:trPr>
          <w:trHeight w:val="340" w:hRule="atLeast"/>
        </w:trPr>
        <w:tc>
          <w:tcPr>
            <w:tcW w:w="5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108</w:t>
            </w:r>
          </w:p>
        </w:tc>
        <w:tc>
          <w:tcPr>
            <w:tcW w:w="38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南通市龙图金属制品有限公司</w:t>
            </w:r>
          </w:p>
        </w:tc>
        <w:tc>
          <w:tcPr>
            <w:tcW w:w="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较大</w:t>
            </w:r>
          </w:p>
        </w:tc>
        <w:tc>
          <w:tcPr>
            <w:tcW w:w="2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320682-2020-068-M</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搬经镇</w:t>
            </w:r>
          </w:p>
        </w:tc>
      </w:tr>
    </w:tbl>
    <w:p>
      <w:pPr>
        <w:spacing w:line="548" w:lineRule="exact"/>
        <w:rPr>
          <w:rFonts w:hint="eastAsia" w:ascii="黑体" w:hAnsi="黑体" w:eastAsia="黑体" w:cs="黑体"/>
          <w:sz w:val="32"/>
          <w:szCs w:val="32"/>
        </w:rPr>
      </w:pPr>
    </w:p>
    <w:p>
      <w:pPr>
        <w:spacing w:line="548" w:lineRule="exact"/>
        <w:rPr>
          <w:rFonts w:ascii="黑体" w:hAnsi="黑体" w:eastAsia="黑体" w:cs="黑体"/>
          <w:sz w:val="32"/>
          <w:szCs w:val="32"/>
        </w:rPr>
      </w:pPr>
      <w:r>
        <w:rPr>
          <w:rFonts w:hint="eastAsia" w:ascii="黑体" w:hAnsi="黑体" w:eastAsia="黑体" w:cs="黑体"/>
          <w:sz w:val="32"/>
          <w:szCs w:val="32"/>
        </w:rPr>
        <w:t>附件2</w:t>
      </w:r>
    </w:p>
    <w:p>
      <w:pPr>
        <w:spacing w:line="548" w:lineRule="exact"/>
        <w:jc w:val="center"/>
        <w:rPr>
          <w:rFonts w:eastAsia="方正小标宋_GBK"/>
          <w:color w:val="000000"/>
          <w:sz w:val="38"/>
          <w:szCs w:val="38"/>
        </w:rPr>
      </w:pPr>
      <w:r>
        <w:rPr>
          <w:rFonts w:hint="eastAsia" w:eastAsia="方正小标宋_GBK"/>
          <w:color w:val="000000"/>
          <w:sz w:val="38"/>
          <w:szCs w:val="38"/>
        </w:rPr>
        <w:t>完成环境安全达标建设</w:t>
      </w:r>
    </w:p>
    <w:p>
      <w:pPr>
        <w:spacing w:line="548" w:lineRule="exact"/>
        <w:jc w:val="center"/>
        <w:rPr>
          <w:rFonts w:eastAsia="方正小标宋_GBK"/>
          <w:color w:val="000000"/>
          <w:sz w:val="38"/>
          <w:szCs w:val="38"/>
        </w:rPr>
      </w:pPr>
      <w:r>
        <w:rPr>
          <w:rFonts w:hint="eastAsia" w:eastAsia="方正小标宋_GBK"/>
          <w:color w:val="000000"/>
          <w:sz w:val="38"/>
          <w:szCs w:val="38"/>
        </w:rPr>
        <w:t>及“八查八改</w:t>
      </w:r>
      <w:r>
        <w:rPr>
          <w:rFonts w:eastAsia="方正小标宋_GBK"/>
          <w:color w:val="000000"/>
          <w:sz w:val="38"/>
          <w:szCs w:val="38"/>
        </w:rPr>
        <w:t>”</w:t>
      </w:r>
      <w:r>
        <w:rPr>
          <w:rFonts w:hint="eastAsia" w:eastAsia="方正小标宋_GBK"/>
          <w:color w:val="000000"/>
          <w:sz w:val="38"/>
          <w:szCs w:val="38"/>
        </w:rPr>
        <w:t>重点环境风险企业名单</w:t>
      </w:r>
    </w:p>
    <w:p>
      <w:pPr>
        <w:spacing w:line="548" w:lineRule="exact"/>
        <w:jc w:val="center"/>
        <w:rPr>
          <w:rFonts w:eastAsia="方正小标宋_GBK"/>
          <w:color w:val="000000"/>
          <w:sz w:val="38"/>
          <w:szCs w:val="38"/>
        </w:rPr>
      </w:pPr>
    </w:p>
    <w:tbl>
      <w:tblPr>
        <w:tblStyle w:val="6"/>
        <w:tblW w:w="8560" w:type="dxa"/>
        <w:tblInd w:w="78" w:type="dxa"/>
        <w:tblLayout w:type="autofit"/>
        <w:tblCellMar>
          <w:top w:w="0" w:type="dxa"/>
          <w:left w:w="108" w:type="dxa"/>
          <w:bottom w:w="0" w:type="dxa"/>
          <w:right w:w="108" w:type="dxa"/>
        </w:tblCellMar>
      </w:tblPr>
      <w:tblGrid>
        <w:gridCol w:w="820"/>
        <w:gridCol w:w="4030"/>
        <w:gridCol w:w="1710"/>
        <w:gridCol w:w="2000"/>
      </w:tblGrid>
      <w:tr>
        <w:tblPrEx>
          <w:tblCellMar>
            <w:top w:w="0" w:type="dxa"/>
            <w:left w:w="108" w:type="dxa"/>
            <w:bottom w:w="0" w:type="dxa"/>
            <w:right w:w="108" w:type="dxa"/>
          </w:tblCellMar>
        </w:tblPrEx>
        <w:trPr>
          <w:trHeight w:val="454" w:hRule="atLeast"/>
          <w:tblHead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40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企业名称</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核查日期</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所属分局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南通创源电化学科技有限公司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2017/12/7</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执法一局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延康汽车零部件如皋有限公司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2017/12/7</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执法一局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江苏聚源电气有限公司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2018/12/30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执法一局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双钱集团（江苏）轮胎有限公司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2018/12/16</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执法一局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5</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如皋市大昌电子有限公司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2018/12/16</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执法一局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6</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南通爱康金属科技有限公司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2019/4/20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执法一局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7</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江苏九鼎新材料股份有限公司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2018/12/30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执法二局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8</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江苏神马电力股份有限公司如皋分公司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2018/11/3</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执法二局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9</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如皋市大生线路器材有限公司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2019/4/20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执法二局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10</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如皋市永祥皮革制品有限公司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2019/6/29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执法三局（陈）</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11</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南通市垃圾处理中心</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2019/7/14</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执法三局（陈）</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12</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江苏新瑞药业有限公司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2019/7/14</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13</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南通天泽化工有限公司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2019/7/14</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14</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上海电气环保热电（南通）有限公司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2017/12/10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15</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易联能源</w:t>
            </w:r>
            <w:r>
              <w:rPr>
                <w:rFonts w:ascii="宋体" w:hAnsi="Times New Roman" w:cs="宋体"/>
                <w:color w:val="000000"/>
                <w:kern w:val="0"/>
                <w:sz w:val="22"/>
                <w:szCs w:val="22"/>
              </w:rPr>
              <w:t>(</w:t>
            </w:r>
            <w:r>
              <w:rPr>
                <w:rFonts w:hint="eastAsia" w:ascii="宋体" w:hAnsi="Times New Roman" w:cs="宋体"/>
                <w:color w:val="000000"/>
                <w:kern w:val="0"/>
                <w:sz w:val="22"/>
                <w:szCs w:val="22"/>
              </w:rPr>
              <w:t>南通</w:t>
            </w:r>
            <w:r>
              <w:rPr>
                <w:rFonts w:ascii="宋体" w:hAnsi="Times New Roman" w:cs="宋体"/>
                <w:color w:val="000000"/>
                <w:kern w:val="0"/>
                <w:sz w:val="22"/>
                <w:szCs w:val="22"/>
              </w:rPr>
              <w:t>)</w:t>
            </w:r>
            <w:r>
              <w:rPr>
                <w:rFonts w:hint="eastAsia" w:ascii="宋体" w:hAnsi="Times New Roman" w:cs="宋体"/>
                <w:color w:val="000000"/>
                <w:kern w:val="0"/>
                <w:sz w:val="22"/>
                <w:szCs w:val="22"/>
              </w:rPr>
              <w:t>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2017/11/25</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16</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如皋市天鹏冶金有限公司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2017/12/20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17</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江苏隆昌化工有限公司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2017/11/5</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18</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江苏泰利达新材料有限公司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2017/12/10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19</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南通波涛化工有限公司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2017/12/3</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江苏国胶化学科技有限公司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2017/11/19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21</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德源（中国）高科有限公司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2017/10/29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22</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南通东方石油化工港储有限公司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2017/11/25</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23</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南通阳鸿石化储运有限公司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2017/10/29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24</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上海电气南通水处理有限公司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2017/11/12</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25</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百川化工（如皋）有限公司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2017/11/12</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26</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南通新邦化工科技有限公司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2017/11/17</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27</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南通新纳希新材料有限公司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2017/11/17</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28</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南通意特化工有限公司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2017/12/3</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29</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江苏阳恒化工有限公司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2017/11/19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30</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江苏康恒化工有限公司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2017/12/3</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31</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江苏泰仓农化有限公司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2017/12/20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32</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南通九洲环保科技有限公司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2017/11/5</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33</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江苏永友食品科技有限公司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2018/1/2</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34</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江苏瑞佳新材料有限公司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2017/11/25</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35</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如皋诚信热镀锌有限公司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2017/12/10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36</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江苏宝众宝达药业有限公司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2017/11/19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37</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南通焯晟石油化工有限公司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2017/11/25</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38</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华大石化（南通）有限公司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2017/12/20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39</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南通市远邦石油有限公司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2017/11/25</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40</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南通亨得利高分子材料科技有限</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2018/9/29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41</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江苏宏梓新能源科技有限公司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2018/9/29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42</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南通百川新材料有限公司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2018/11/29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43</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南通九洲环保科技有限公司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2018/11/29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执法三局（马）</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44</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如皋市高诚精制棉有限公司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2018/12/30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执法四局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45</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南通泰利达化工有限公司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2018/12/30</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执法四局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46</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如皋南海水处理剂有限公司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2018/11/3</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执法四局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47</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如皋市涤诺皂业有限公司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2018/11/29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执法四局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48</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江苏金迪特钢有限公司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2019/3/17</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执法四局</w:t>
            </w:r>
          </w:p>
        </w:tc>
      </w:tr>
      <w:tr>
        <w:tblPrEx>
          <w:tblCellMar>
            <w:top w:w="0" w:type="dxa"/>
            <w:left w:w="108" w:type="dxa"/>
            <w:bottom w:w="0" w:type="dxa"/>
            <w:right w:w="108" w:type="dxa"/>
          </w:tblCellMar>
        </w:tblPrEx>
        <w:trPr>
          <w:trHeight w:val="454"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49</w:t>
            </w:r>
          </w:p>
        </w:tc>
        <w:tc>
          <w:tcPr>
            <w:tcW w:w="403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南通白蒲黄酒有限公司</w:t>
            </w:r>
          </w:p>
        </w:tc>
        <w:tc>
          <w:tcPr>
            <w:tcW w:w="171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ascii="宋体" w:hAnsi="Times New Roman" w:cs="宋体"/>
                <w:color w:val="000000"/>
                <w:kern w:val="0"/>
                <w:sz w:val="22"/>
                <w:szCs w:val="22"/>
              </w:rPr>
              <w:t>2019/6/29</w:t>
            </w:r>
          </w:p>
        </w:tc>
        <w:tc>
          <w:tcPr>
            <w:tcW w:w="2000" w:type="dxa"/>
            <w:tcBorders>
              <w:top w:val="nil"/>
              <w:left w:val="nil"/>
              <w:bottom w:val="single" w:color="auto" w:sz="4" w:space="0"/>
              <w:right w:val="single" w:color="auto" w:sz="4" w:space="0"/>
            </w:tcBorders>
            <w:shd w:val="clear" w:color="auto" w:fill="auto"/>
            <w:noWrap/>
            <w:vAlign w:val="center"/>
          </w:tcPr>
          <w:p>
            <w:pPr>
              <w:autoSpaceDE w:val="0"/>
              <w:autoSpaceDN w:val="0"/>
              <w:adjustRightInd w:val="0"/>
              <w:jc w:val="center"/>
              <w:rPr>
                <w:rFonts w:ascii="宋体" w:hAnsi="Times New Roman" w:cs="宋体"/>
                <w:color w:val="000000"/>
                <w:kern w:val="0"/>
                <w:sz w:val="22"/>
                <w:szCs w:val="22"/>
              </w:rPr>
            </w:pPr>
            <w:r>
              <w:rPr>
                <w:rFonts w:hint="eastAsia" w:ascii="宋体" w:hAnsi="Times New Roman" w:cs="宋体"/>
                <w:color w:val="000000"/>
                <w:kern w:val="0"/>
                <w:sz w:val="22"/>
                <w:szCs w:val="22"/>
              </w:rPr>
              <w:t>执法四局</w:t>
            </w:r>
          </w:p>
        </w:tc>
      </w:tr>
    </w:tbl>
    <w:p>
      <w:pPr>
        <w:spacing w:line="548" w:lineRule="exact"/>
        <w:jc w:val="center"/>
        <w:rPr>
          <w:rFonts w:eastAsia="方正小标宋_GBK"/>
          <w:color w:val="000000"/>
          <w:sz w:val="38"/>
          <w:szCs w:val="38"/>
        </w:rPr>
      </w:pPr>
    </w:p>
    <w:p>
      <w:pPr>
        <w:spacing w:line="548" w:lineRule="exact"/>
        <w:jc w:val="center"/>
        <w:rPr>
          <w:rFonts w:eastAsia="方正小标宋_GBK"/>
          <w:color w:val="000000"/>
          <w:sz w:val="38"/>
          <w:szCs w:val="38"/>
        </w:rPr>
      </w:pPr>
    </w:p>
    <w:p>
      <w:pPr>
        <w:spacing w:line="548" w:lineRule="exact"/>
        <w:jc w:val="center"/>
        <w:rPr>
          <w:rFonts w:eastAsia="方正小标宋_GBK"/>
          <w:color w:val="000000"/>
          <w:sz w:val="38"/>
          <w:szCs w:val="38"/>
        </w:rPr>
      </w:pPr>
    </w:p>
    <w:p>
      <w:pPr>
        <w:spacing w:line="548" w:lineRule="exact"/>
        <w:rPr>
          <w:rFonts w:ascii="黑体" w:hAnsi="黑体" w:eastAsia="黑体" w:cs="黑体"/>
          <w:sz w:val="32"/>
          <w:szCs w:val="32"/>
        </w:rPr>
      </w:pPr>
      <w:r>
        <w:rPr>
          <w:rFonts w:hint="eastAsia" w:ascii="黑体" w:hAnsi="黑体" w:eastAsia="黑体" w:cs="黑体"/>
          <w:sz w:val="32"/>
          <w:szCs w:val="32"/>
        </w:rPr>
        <w:t>附件3</w:t>
      </w:r>
    </w:p>
    <w:p>
      <w:pPr>
        <w:adjustRightInd w:val="0"/>
        <w:jc w:val="left"/>
        <w:rPr>
          <w:rFonts w:eastAsia="黑体"/>
          <w:color w:val="000000"/>
          <w:szCs w:val="32"/>
        </w:rPr>
      </w:pPr>
    </w:p>
    <w:p>
      <w:pPr>
        <w:adjustRightInd w:val="0"/>
        <w:spacing w:line="460" w:lineRule="exact"/>
        <w:jc w:val="center"/>
        <w:rPr>
          <w:rFonts w:eastAsia="方正小标宋_GBK"/>
          <w:color w:val="000000"/>
          <w:sz w:val="38"/>
          <w:szCs w:val="38"/>
        </w:rPr>
      </w:pPr>
      <w:r>
        <w:rPr>
          <w:rFonts w:eastAsia="方正小标宋_GBK"/>
          <w:color w:val="000000"/>
          <w:sz w:val="38"/>
          <w:szCs w:val="38"/>
        </w:rPr>
        <w:t>企业突发环境事件应急管理隐患排查表</w:t>
      </w:r>
    </w:p>
    <w:p>
      <w:pPr>
        <w:adjustRightInd w:val="0"/>
        <w:spacing w:beforeLines="60" w:line="500" w:lineRule="exact"/>
        <w:jc w:val="center"/>
        <w:rPr>
          <w:rFonts w:eastAsia="楷体_GB2312"/>
          <w:color w:val="000000"/>
        </w:rPr>
      </w:pPr>
      <w:r>
        <w:rPr>
          <w:rFonts w:eastAsia="楷体_GB2312"/>
          <w:color w:val="000000"/>
        </w:rPr>
        <w:t>（企业可参考本表制定符合本企业实际情况的自查用表）</w:t>
      </w:r>
    </w:p>
    <w:p>
      <w:pPr>
        <w:adjustRightInd w:val="0"/>
        <w:spacing w:afterLines="50" w:line="500" w:lineRule="exact"/>
        <w:jc w:val="left"/>
        <w:rPr>
          <w:rFonts w:eastAsia="仿宋_GB2312"/>
          <w:b/>
          <w:color w:val="000000"/>
          <w:sz w:val="24"/>
        </w:rPr>
      </w:pPr>
      <w:r>
        <w:rPr>
          <w:rFonts w:eastAsia="仿宋_GB2312"/>
          <w:b/>
          <w:color w:val="000000"/>
          <w:sz w:val="24"/>
        </w:rPr>
        <w:t>排查时间：  年  月  日               现场排查负责人（签字）：</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
      <w:tblGrid>
        <w:gridCol w:w="1283"/>
        <w:gridCol w:w="5371"/>
        <w:gridCol w:w="921"/>
        <w:gridCol w:w="921"/>
        <w:gridCol w:w="6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1283" w:type="dxa"/>
            <w:vMerge w:val="restart"/>
            <w:noWrap/>
            <w:vAlign w:val="center"/>
          </w:tcPr>
          <w:p>
            <w:pPr>
              <w:adjustRightInd w:val="0"/>
              <w:jc w:val="center"/>
              <w:rPr>
                <w:rFonts w:eastAsia="黑体"/>
                <w:color w:val="000000"/>
                <w:szCs w:val="21"/>
              </w:rPr>
            </w:pPr>
            <w:r>
              <w:rPr>
                <w:rFonts w:eastAsia="黑体"/>
                <w:color w:val="000000"/>
                <w:szCs w:val="21"/>
              </w:rPr>
              <w:t>排查内容</w:t>
            </w:r>
          </w:p>
        </w:tc>
        <w:tc>
          <w:tcPr>
            <w:tcW w:w="5371" w:type="dxa"/>
            <w:vMerge w:val="restart"/>
            <w:noWrap/>
            <w:vAlign w:val="center"/>
          </w:tcPr>
          <w:p>
            <w:pPr>
              <w:adjustRightInd w:val="0"/>
              <w:jc w:val="center"/>
              <w:rPr>
                <w:rFonts w:eastAsia="黑体"/>
                <w:color w:val="000000"/>
                <w:szCs w:val="21"/>
              </w:rPr>
            </w:pPr>
            <w:r>
              <w:rPr>
                <w:rFonts w:eastAsia="黑体"/>
                <w:color w:val="000000"/>
                <w:spacing w:val="20"/>
                <w:szCs w:val="21"/>
              </w:rPr>
              <w:t>具体排查内</w:t>
            </w:r>
            <w:r>
              <w:rPr>
                <w:rFonts w:eastAsia="黑体"/>
                <w:color w:val="000000"/>
                <w:szCs w:val="21"/>
              </w:rPr>
              <w:t>容</w:t>
            </w:r>
          </w:p>
        </w:tc>
        <w:tc>
          <w:tcPr>
            <w:tcW w:w="2517" w:type="dxa"/>
            <w:gridSpan w:val="3"/>
            <w:noWrap/>
            <w:vAlign w:val="center"/>
          </w:tcPr>
          <w:p>
            <w:pPr>
              <w:adjustRightInd w:val="0"/>
              <w:jc w:val="center"/>
              <w:rPr>
                <w:rFonts w:eastAsia="黑体"/>
                <w:color w:val="000000"/>
                <w:szCs w:val="21"/>
              </w:rPr>
            </w:pPr>
            <w:r>
              <w:rPr>
                <w:rFonts w:eastAsia="黑体"/>
                <w:color w:val="000000"/>
                <w:szCs w:val="21"/>
              </w:rPr>
              <w:t>排查结果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1283" w:type="dxa"/>
            <w:vMerge w:val="continue"/>
            <w:noWrap/>
            <w:vAlign w:val="center"/>
          </w:tcPr>
          <w:p>
            <w:pPr>
              <w:adjustRightInd w:val="0"/>
              <w:jc w:val="center"/>
              <w:rPr>
                <w:rFonts w:eastAsia="黑体"/>
                <w:color w:val="000000"/>
                <w:szCs w:val="21"/>
              </w:rPr>
            </w:pPr>
          </w:p>
        </w:tc>
        <w:tc>
          <w:tcPr>
            <w:tcW w:w="5371" w:type="dxa"/>
            <w:vMerge w:val="continue"/>
            <w:noWrap/>
            <w:vAlign w:val="center"/>
          </w:tcPr>
          <w:p>
            <w:pPr>
              <w:adjustRightInd w:val="0"/>
              <w:jc w:val="center"/>
              <w:rPr>
                <w:rFonts w:eastAsia="黑体"/>
                <w:color w:val="000000"/>
                <w:szCs w:val="21"/>
              </w:rPr>
            </w:pPr>
          </w:p>
        </w:tc>
        <w:tc>
          <w:tcPr>
            <w:tcW w:w="921" w:type="dxa"/>
            <w:noWrap/>
            <w:vAlign w:val="center"/>
          </w:tcPr>
          <w:p>
            <w:pPr>
              <w:adjustRightInd w:val="0"/>
              <w:jc w:val="center"/>
              <w:rPr>
                <w:rFonts w:eastAsia="黑体"/>
                <w:color w:val="000000"/>
                <w:szCs w:val="21"/>
              </w:rPr>
            </w:pPr>
            <w:r>
              <w:rPr>
                <w:rFonts w:eastAsia="黑体"/>
                <w:color w:val="000000"/>
                <w:szCs w:val="21"/>
              </w:rPr>
              <w:t>是，证明材料</w:t>
            </w:r>
          </w:p>
        </w:tc>
        <w:tc>
          <w:tcPr>
            <w:tcW w:w="921" w:type="dxa"/>
            <w:noWrap/>
            <w:vAlign w:val="center"/>
          </w:tcPr>
          <w:p>
            <w:pPr>
              <w:adjustRightInd w:val="0"/>
              <w:jc w:val="center"/>
              <w:rPr>
                <w:rFonts w:eastAsia="黑体"/>
                <w:color w:val="000000"/>
                <w:szCs w:val="21"/>
              </w:rPr>
            </w:pPr>
            <w:r>
              <w:rPr>
                <w:rFonts w:eastAsia="黑体"/>
                <w:color w:val="000000"/>
                <w:szCs w:val="21"/>
              </w:rPr>
              <w:t>否，具体问题</w:t>
            </w:r>
          </w:p>
        </w:tc>
        <w:tc>
          <w:tcPr>
            <w:tcW w:w="675" w:type="dxa"/>
            <w:noWrap/>
            <w:vAlign w:val="center"/>
          </w:tcPr>
          <w:p>
            <w:pPr>
              <w:adjustRightInd w:val="0"/>
              <w:jc w:val="center"/>
              <w:rPr>
                <w:rFonts w:eastAsia="黑体"/>
                <w:color w:val="000000"/>
                <w:szCs w:val="21"/>
              </w:rPr>
            </w:pPr>
            <w:r>
              <w:rPr>
                <w:rFonts w:eastAsia="黑体"/>
                <w:color w:val="000000"/>
                <w:szCs w:val="21"/>
              </w:rPr>
              <w:t>其他情况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restart"/>
            <w:noWrap/>
            <w:vAlign w:val="center"/>
          </w:tcPr>
          <w:p>
            <w:pPr>
              <w:adjustRightInd w:val="0"/>
              <w:rPr>
                <w:color w:val="000000"/>
                <w:szCs w:val="21"/>
              </w:rPr>
            </w:pPr>
            <w:r>
              <w:rPr>
                <w:color w:val="000000"/>
                <w:szCs w:val="21"/>
              </w:rPr>
              <w:t>1.</w:t>
            </w:r>
            <w:r>
              <w:rPr>
                <w:rFonts w:hAnsi="宋体"/>
                <w:color w:val="000000"/>
                <w:szCs w:val="21"/>
              </w:rPr>
              <w:t>是否按规定开展突发环境事件风险评估，确定风险等级</w:t>
            </w:r>
          </w:p>
        </w:tc>
        <w:tc>
          <w:tcPr>
            <w:tcW w:w="5371" w:type="dxa"/>
            <w:noWrap/>
            <w:vAlign w:val="center"/>
          </w:tcPr>
          <w:p>
            <w:pPr>
              <w:adjustRightInd w:val="0"/>
              <w:rPr>
                <w:color w:val="000000"/>
                <w:szCs w:val="21"/>
              </w:rPr>
            </w:pPr>
            <w:r>
              <w:rPr>
                <w:rFonts w:hAnsi="宋体"/>
                <w:color w:val="000000"/>
                <w:szCs w:val="21"/>
              </w:rPr>
              <w:t>（</w:t>
            </w:r>
            <w:r>
              <w:rPr>
                <w:color w:val="000000"/>
                <w:szCs w:val="21"/>
              </w:rPr>
              <w:t>1</w:t>
            </w:r>
            <w:r>
              <w:rPr>
                <w:rFonts w:hAnsi="宋体"/>
                <w:color w:val="000000"/>
                <w:szCs w:val="21"/>
              </w:rPr>
              <w:t>）是否编制突发环境事件风险评估报告，并与预案一起备案。</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766" w:hRule="atLeast"/>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2</w:t>
            </w:r>
            <w:r>
              <w:rPr>
                <w:rFonts w:hAnsi="宋体"/>
                <w:color w:val="000000"/>
                <w:szCs w:val="21"/>
              </w:rPr>
              <w:t>）企业现有突发环境事件风险物质种类和风险评估报告相比是否发生变化。</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3</w:t>
            </w:r>
            <w:r>
              <w:rPr>
                <w:rFonts w:hAnsi="宋体"/>
                <w:color w:val="000000"/>
                <w:szCs w:val="21"/>
              </w:rPr>
              <w:t>）企业现有突发环境事件风险物质数量和风险评估报告相比是否发生变化。</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4</w:t>
            </w:r>
            <w:r>
              <w:rPr>
                <w:rFonts w:hAnsi="宋体"/>
                <w:color w:val="000000"/>
                <w:szCs w:val="21"/>
              </w:rPr>
              <w:t>）企业突发环境事件风险物质种类、数量变化是否影响风险等级。</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548" w:hRule="atLeast"/>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5</w:t>
            </w:r>
            <w:r>
              <w:rPr>
                <w:rFonts w:hAnsi="宋体"/>
                <w:color w:val="000000"/>
                <w:szCs w:val="21"/>
              </w:rPr>
              <w:t>）突发环境事件风险等级确定是否正确合理。</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451" w:hRule="atLeast"/>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6</w:t>
            </w:r>
            <w:r>
              <w:rPr>
                <w:rFonts w:hAnsi="宋体"/>
                <w:color w:val="000000"/>
                <w:szCs w:val="21"/>
              </w:rPr>
              <w:t>）突发环境事件风险评估是否通过评审。</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565" w:hRule="atLeast"/>
          <w:jc w:val="center"/>
        </w:trPr>
        <w:tc>
          <w:tcPr>
            <w:tcW w:w="1283" w:type="dxa"/>
            <w:vMerge w:val="restart"/>
            <w:noWrap/>
            <w:vAlign w:val="center"/>
          </w:tcPr>
          <w:p>
            <w:pPr>
              <w:adjustRightInd w:val="0"/>
              <w:rPr>
                <w:color w:val="000000"/>
                <w:szCs w:val="21"/>
              </w:rPr>
            </w:pPr>
            <w:r>
              <w:rPr>
                <w:color w:val="000000"/>
                <w:szCs w:val="21"/>
              </w:rPr>
              <w:t>2.</w:t>
            </w:r>
            <w:r>
              <w:rPr>
                <w:rFonts w:hAnsi="宋体"/>
                <w:color w:val="000000"/>
                <w:szCs w:val="21"/>
              </w:rPr>
              <w:t>是否按规定制定突发环境事件应</w:t>
            </w:r>
            <w:r>
              <w:rPr>
                <w:rFonts w:hAnsi="宋体"/>
                <w:color w:val="000000"/>
                <w:spacing w:val="4"/>
                <w:szCs w:val="21"/>
              </w:rPr>
              <w:t>急预案并备案</w:t>
            </w:r>
          </w:p>
        </w:tc>
        <w:tc>
          <w:tcPr>
            <w:tcW w:w="5371" w:type="dxa"/>
            <w:noWrap/>
            <w:vAlign w:val="center"/>
          </w:tcPr>
          <w:p>
            <w:pPr>
              <w:adjustRightInd w:val="0"/>
              <w:rPr>
                <w:color w:val="000000"/>
                <w:szCs w:val="21"/>
              </w:rPr>
            </w:pPr>
            <w:r>
              <w:rPr>
                <w:rFonts w:hAnsi="宋体"/>
                <w:color w:val="000000"/>
                <w:szCs w:val="21"/>
              </w:rPr>
              <w:t>（</w:t>
            </w:r>
            <w:r>
              <w:rPr>
                <w:color w:val="000000"/>
                <w:szCs w:val="21"/>
              </w:rPr>
              <w:t>7</w:t>
            </w:r>
            <w:r>
              <w:rPr>
                <w:rFonts w:hAnsi="宋体"/>
                <w:color w:val="000000"/>
                <w:szCs w:val="21"/>
              </w:rPr>
              <w:t>）是否按要求对预案进行评审，评审意见是否及时落实。</w:t>
            </w:r>
          </w:p>
        </w:tc>
        <w:tc>
          <w:tcPr>
            <w:tcW w:w="921" w:type="dxa"/>
            <w:vMerge w:val="restart"/>
            <w:noWrap/>
            <w:vAlign w:val="center"/>
          </w:tcPr>
          <w:p>
            <w:pPr>
              <w:adjustRightInd w:val="0"/>
              <w:jc w:val="left"/>
              <w:rPr>
                <w:color w:val="000000"/>
                <w:szCs w:val="21"/>
              </w:rPr>
            </w:pPr>
          </w:p>
        </w:tc>
        <w:tc>
          <w:tcPr>
            <w:tcW w:w="921" w:type="dxa"/>
            <w:vMerge w:val="restart"/>
            <w:noWrap/>
            <w:vAlign w:val="center"/>
          </w:tcPr>
          <w:p>
            <w:pPr>
              <w:adjustRightInd w:val="0"/>
              <w:jc w:val="left"/>
              <w:rPr>
                <w:color w:val="000000"/>
                <w:szCs w:val="21"/>
              </w:rPr>
            </w:pPr>
          </w:p>
        </w:tc>
        <w:tc>
          <w:tcPr>
            <w:tcW w:w="675" w:type="dxa"/>
            <w:vMerge w:val="restart"/>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8</w:t>
            </w:r>
            <w:r>
              <w:rPr>
                <w:rFonts w:hAnsi="宋体"/>
                <w:color w:val="000000"/>
                <w:szCs w:val="21"/>
              </w:rPr>
              <w:t>）是否将预案进行了备案，是否每三年进行回顾性评估。</w:t>
            </w:r>
          </w:p>
        </w:tc>
        <w:tc>
          <w:tcPr>
            <w:tcW w:w="921" w:type="dxa"/>
            <w:vMerge w:val="continue"/>
            <w:noWrap/>
            <w:vAlign w:val="center"/>
          </w:tcPr>
          <w:p>
            <w:pPr>
              <w:adjustRightInd w:val="0"/>
              <w:jc w:val="left"/>
              <w:rPr>
                <w:color w:val="000000"/>
                <w:szCs w:val="21"/>
              </w:rPr>
            </w:pPr>
          </w:p>
        </w:tc>
        <w:tc>
          <w:tcPr>
            <w:tcW w:w="921" w:type="dxa"/>
            <w:vMerge w:val="continue"/>
            <w:noWrap/>
            <w:vAlign w:val="center"/>
          </w:tcPr>
          <w:p>
            <w:pPr>
              <w:adjustRightInd w:val="0"/>
              <w:jc w:val="left"/>
              <w:rPr>
                <w:color w:val="000000"/>
                <w:szCs w:val="21"/>
              </w:rPr>
            </w:pPr>
          </w:p>
        </w:tc>
        <w:tc>
          <w:tcPr>
            <w:tcW w:w="675" w:type="dxa"/>
            <w:vMerge w:val="continue"/>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3219" w:hRule="atLeast"/>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9</w:t>
            </w:r>
            <w:r>
              <w:rPr>
                <w:rFonts w:hAnsi="宋体"/>
                <w:color w:val="000000"/>
                <w:szCs w:val="21"/>
              </w:rPr>
              <w:t>）出现下列情况预案是否进行了及时修订。</w:t>
            </w:r>
          </w:p>
          <w:p>
            <w:pPr>
              <w:adjustRightInd w:val="0"/>
              <w:rPr>
                <w:color w:val="000000"/>
                <w:szCs w:val="21"/>
              </w:rPr>
            </w:pPr>
            <w:r>
              <w:rPr>
                <w:color w:val="000000"/>
                <w:szCs w:val="21"/>
              </w:rPr>
              <w:t>1</w:t>
            </w:r>
            <w:r>
              <w:rPr>
                <w:rFonts w:hAnsi="宋体"/>
                <w:color w:val="000000"/>
                <w:szCs w:val="21"/>
              </w:rPr>
              <w:t>）面临的突发环境事件风险发生重大变化，需要重新进行风险评估；</w:t>
            </w:r>
          </w:p>
          <w:p>
            <w:pPr>
              <w:adjustRightInd w:val="0"/>
              <w:rPr>
                <w:color w:val="000000"/>
                <w:szCs w:val="21"/>
              </w:rPr>
            </w:pPr>
            <w:r>
              <w:rPr>
                <w:color w:val="000000"/>
                <w:szCs w:val="21"/>
              </w:rPr>
              <w:t>2</w:t>
            </w:r>
            <w:r>
              <w:rPr>
                <w:rFonts w:hAnsi="宋体"/>
                <w:color w:val="000000"/>
                <w:szCs w:val="21"/>
              </w:rPr>
              <w:t>）应急管理组织指挥体系与职责发生重大变化；</w:t>
            </w:r>
          </w:p>
          <w:p>
            <w:pPr>
              <w:adjustRightInd w:val="0"/>
              <w:rPr>
                <w:color w:val="000000"/>
                <w:szCs w:val="21"/>
              </w:rPr>
            </w:pPr>
            <w:r>
              <w:rPr>
                <w:color w:val="000000"/>
                <w:szCs w:val="21"/>
              </w:rPr>
              <w:t>3</w:t>
            </w:r>
            <w:r>
              <w:rPr>
                <w:rFonts w:hAnsi="宋体"/>
                <w:color w:val="000000"/>
                <w:szCs w:val="21"/>
              </w:rPr>
              <w:t>）环境应急监测预警机制发生重大变化，报告联络信息及机制发生重大变化；</w:t>
            </w:r>
          </w:p>
          <w:p>
            <w:pPr>
              <w:adjustRightInd w:val="0"/>
              <w:rPr>
                <w:color w:val="000000"/>
                <w:szCs w:val="21"/>
              </w:rPr>
            </w:pPr>
            <w:r>
              <w:rPr>
                <w:color w:val="000000"/>
                <w:szCs w:val="21"/>
              </w:rPr>
              <w:t>4</w:t>
            </w:r>
            <w:r>
              <w:rPr>
                <w:rFonts w:hAnsi="宋体"/>
                <w:color w:val="000000"/>
                <w:szCs w:val="21"/>
              </w:rPr>
              <w:t>）环境应急应对流程体系和措施发生重大变化；</w:t>
            </w:r>
          </w:p>
          <w:p>
            <w:pPr>
              <w:adjustRightInd w:val="0"/>
              <w:rPr>
                <w:color w:val="000000"/>
                <w:szCs w:val="21"/>
              </w:rPr>
            </w:pPr>
            <w:r>
              <w:rPr>
                <w:color w:val="000000"/>
                <w:szCs w:val="21"/>
              </w:rPr>
              <w:t>5</w:t>
            </w:r>
            <w:r>
              <w:rPr>
                <w:rFonts w:hAnsi="宋体"/>
                <w:color w:val="000000"/>
                <w:szCs w:val="21"/>
              </w:rPr>
              <w:t>）环境应急保障措施及保障体系发生重大变化；</w:t>
            </w:r>
          </w:p>
          <w:p>
            <w:pPr>
              <w:adjustRightInd w:val="0"/>
              <w:rPr>
                <w:color w:val="000000"/>
                <w:szCs w:val="21"/>
              </w:rPr>
            </w:pPr>
            <w:r>
              <w:rPr>
                <w:color w:val="000000"/>
                <w:szCs w:val="21"/>
              </w:rPr>
              <w:t>6</w:t>
            </w:r>
            <w:r>
              <w:rPr>
                <w:rFonts w:hAnsi="宋体"/>
                <w:color w:val="000000"/>
                <w:szCs w:val="21"/>
              </w:rPr>
              <w:t>）重要应急资源发生重大变化；</w:t>
            </w:r>
          </w:p>
          <w:p>
            <w:pPr>
              <w:adjustRightInd w:val="0"/>
              <w:rPr>
                <w:color w:val="000000"/>
                <w:szCs w:val="21"/>
              </w:rPr>
            </w:pPr>
            <w:r>
              <w:rPr>
                <w:color w:val="000000"/>
                <w:szCs w:val="21"/>
              </w:rPr>
              <w:t>7</w:t>
            </w:r>
            <w:r>
              <w:rPr>
                <w:rFonts w:hAnsi="宋体"/>
                <w:color w:val="000000"/>
                <w:szCs w:val="21"/>
              </w:rPr>
              <w:t>）在突发环境事件实际应对和应急演练中发现问题，需要对环境应急预案作出重大调整的。</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restart"/>
            <w:noWrap/>
            <w:vAlign w:val="center"/>
          </w:tcPr>
          <w:p>
            <w:pPr>
              <w:adjustRightInd w:val="0"/>
              <w:rPr>
                <w:color w:val="000000"/>
                <w:szCs w:val="21"/>
              </w:rPr>
            </w:pPr>
            <w:r>
              <w:rPr>
                <w:color w:val="000000"/>
                <w:szCs w:val="21"/>
              </w:rPr>
              <w:t>3.</w:t>
            </w:r>
            <w:r>
              <w:rPr>
                <w:rFonts w:hAnsi="宋体"/>
                <w:color w:val="000000"/>
                <w:szCs w:val="21"/>
              </w:rPr>
              <w:t>是否按规定建立健全隐患排查治理制度，开展隐患排查治理工作和建立档案</w:t>
            </w:r>
          </w:p>
        </w:tc>
        <w:tc>
          <w:tcPr>
            <w:tcW w:w="5371" w:type="dxa"/>
            <w:noWrap/>
            <w:vAlign w:val="center"/>
          </w:tcPr>
          <w:p>
            <w:pPr>
              <w:adjustRightInd w:val="0"/>
              <w:rPr>
                <w:color w:val="000000"/>
                <w:szCs w:val="21"/>
              </w:rPr>
            </w:pPr>
            <w:r>
              <w:rPr>
                <w:rFonts w:hAnsi="宋体"/>
                <w:color w:val="000000"/>
                <w:szCs w:val="21"/>
              </w:rPr>
              <w:t>（</w:t>
            </w:r>
            <w:r>
              <w:rPr>
                <w:color w:val="000000"/>
                <w:szCs w:val="21"/>
              </w:rPr>
              <w:t>10</w:t>
            </w:r>
            <w:r>
              <w:rPr>
                <w:rFonts w:hAnsi="宋体"/>
                <w:color w:val="000000"/>
                <w:szCs w:val="21"/>
              </w:rPr>
              <w:t>）是否建立隐患排查治理责任制。</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jc w:val="center"/>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11</w:t>
            </w:r>
            <w:r>
              <w:rPr>
                <w:rFonts w:hAnsi="宋体"/>
                <w:color w:val="000000"/>
                <w:szCs w:val="21"/>
              </w:rPr>
              <w:t>）是否制定本单位的隐患分级规定。</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jc w:val="center"/>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12</w:t>
            </w:r>
            <w:r>
              <w:rPr>
                <w:rFonts w:hAnsi="宋体"/>
                <w:color w:val="000000"/>
                <w:szCs w:val="21"/>
              </w:rPr>
              <w:t>）是否有隐患排查治理年度计划。</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jc w:val="center"/>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13</w:t>
            </w:r>
            <w:r>
              <w:rPr>
                <w:rFonts w:hAnsi="宋体"/>
                <w:color w:val="000000"/>
                <w:szCs w:val="21"/>
              </w:rPr>
              <w:t>）是否建立隐患记录报告制度，是否制定隐患排查表。</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jc w:val="center"/>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14</w:t>
            </w:r>
            <w:r>
              <w:rPr>
                <w:rFonts w:hAnsi="宋体"/>
                <w:color w:val="000000"/>
                <w:szCs w:val="21"/>
              </w:rPr>
              <w:t>）重大隐患是否制定治理方案。</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jc w:val="center"/>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15</w:t>
            </w:r>
            <w:r>
              <w:rPr>
                <w:rFonts w:hAnsi="宋体"/>
                <w:color w:val="000000"/>
                <w:szCs w:val="21"/>
              </w:rPr>
              <w:t>）是否建立重大隐患督办制度。</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jc w:val="center"/>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16</w:t>
            </w:r>
            <w:r>
              <w:rPr>
                <w:rFonts w:hAnsi="宋体"/>
                <w:color w:val="000000"/>
                <w:szCs w:val="21"/>
              </w:rPr>
              <w:t>）是否建立隐患排查治理档案。</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restart"/>
            <w:noWrap/>
            <w:vAlign w:val="center"/>
          </w:tcPr>
          <w:p>
            <w:pPr>
              <w:adjustRightInd w:val="0"/>
              <w:rPr>
                <w:color w:val="000000"/>
                <w:szCs w:val="21"/>
              </w:rPr>
            </w:pPr>
            <w:r>
              <w:rPr>
                <w:color w:val="000000"/>
                <w:szCs w:val="21"/>
              </w:rPr>
              <w:t>4.</w:t>
            </w:r>
            <w:r>
              <w:rPr>
                <w:rFonts w:hAnsi="宋体"/>
                <w:color w:val="000000"/>
                <w:szCs w:val="21"/>
              </w:rPr>
              <w:t>是否按规定开展突发环境事件应急培训，如实记录培训情况</w:t>
            </w:r>
          </w:p>
        </w:tc>
        <w:tc>
          <w:tcPr>
            <w:tcW w:w="5371" w:type="dxa"/>
            <w:noWrap/>
            <w:vAlign w:val="center"/>
          </w:tcPr>
          <w:p>
            <w:pPr>
              <w:adjustRightInd w:val="0"/>
              <w:rPr>
                <w:color w:val="000000"/>
                <w:szCs w:val="21"/>
              </w:rPr>
            </w:pPr>
            <w:r>
              <w:rPr>
                <w:rFonts w:hAnsi="宋体"/>
                <w:color w:val="000000"/>
                <w:szCs w:val="21"/>
              </w:rPr>
              <w:t>（</w:t>
            </w:r>
            <w:r>
              <w:rPr>
                <w:color w:val="000000"/>
                <w:szCs w:val="21"/>
              </w:rPr>
              <w:t>17</w:t>
            </w:r>
            <w:r>
              <w:rPr>
                <w:rFonts w:hAnsi="宋体"/>
                <w:color w:val="000000"/>
                <w:szCs w:val="21"/>
              </w:rPr>
              <w:t>）是否将应急培训纳入单位工作计划。</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18</w:t>
            </w:r>
            <w:r>
              <w:rPr>
                <w:rFonts w:hAnsi="宋体"/>
                <w:color w:val="000000"/>
                <w:szCs w:val="21"/>
              </w:rPr>
              <w:t>）是否开展应急知识和技能培训。</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19</w:t>
            </w:r>
            <w:r>
              <w:rPr>
                <w:rFonts w:hAnsi="宋体"/>
                <w:color w:val="000000"/>
                <w:szCs w:val="21"/>
              </w:rPr>
              <w:t>）是否健全培训档案，如实记录培训时间、内容、人员等情况。</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restart"/>
            <w:noWrap/>
            <w:vAlign w:val="center"/>
          </w:tcPr>
          <w:p>
            <w:pPr>
              <w:adjustRightInd w:val="0"/>
              <w:rPr>
                <w:color w:val="000000"/>
                <w:szCs w:val="21"/>
              </w:rPr>
            </w:pPr>
            <w:r>
              <w:rPr>
                <w:color w:val="000000"/>
                <w:szCs w:val="21"/>
              </w:rPr>
              <w:t>5.</w:t>
            </w:r>
            <w:r>
              <w:rPr>
                <w:rFonts w:hAnsi="宋体"/>
                <w:color w:val="000000"/>
                <w:szCs w:val="21"/>
              </w:rPr>
              <w:t>是否按规定储备必要的环境应急装备和物资</w:t>
            </w:r>
          </w:p>
        </w:tc>
        <w:tc>
          <w:tcPr>
            <w:tcW w:w="5371" w:type="dxa"/>
            <w:noWrap/>
            <w:vAlign w:val="center"/>
          </w:tcPr>
          <w:p>
            <w:pPr>
              <w:adjustRightInd w:val="0"/>
              <w:rPr>
                <w:color w:val="000000"/>
                <w:szCs w:val="21"/>
              </w:rPr>
            </w:pPr>
            <w:r>
              <w:rPr>
                <w:rFonts w:hAnsi="宋体"/>
                <w:color w:val="000000"/>
                <w:szCs w:val="21"/>
              </w:rPr>
              <w:t>（</w:t>
            </w:r>
            <w:r>
              <w:rPr>
                <w:color w:val="000000"/>
                <w:szCs w:val="21"/>
              </w:rPr>
              <w:t>20</w:t>
            </w:r>
            <w:r>
              <w:rPr>
                <w:rFonts w:hAnsi="宋体"/>
                <w:color w:val="000000"/>
                <w:szCs w:val="21"/>
              </w:rPr>
              <w:t>）是否按规定配备足以应对预设事件情景的环境应急装备和物资。</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21</w:t>
            </w:r>
            <w:r>
              <w:rPr>
                <w:rFonts w:hAnsi="宋体"/>
                <w:color w:val="000000"/>
                <w:szCs w:val="21"/>
              </w:rPr>
              <w:t>）是否已设置专职或兼职人员组成的应急救援队伍。</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22</w:t>
            </w:r>
            <w:r>
              <w:rPr>
                <w:rFonts w:hAnsi="宋体"/>
                <w:color w:val="000000"/>
                <w:szCs w:val="21"/>
              </w:rPr>
              <w:t>）是否与其他组织或单位签订应急救援协议或互救协议。</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vMerge w:val="continue"/>
            <w:noWrap/>
            <w:vAlign w:val="center"/>
          </w:tcPr>
          <w:p>
            <w:pPr>
              <w:adjustRightInd w:val="0"/>
              <w:rPr>
                <w:color w:val="000000"/>
                <w:szCs w:val="21"/>
              </w:rPr>
            </w:pPr>
          </w:p>
        </w:tc>
        <w:tc>
          <w:tcPr>
            <w:tcW w:w="5371" w:type="dxa"/>
            <w:noWrap/>
            <w:vAlign w:val="center"/>
          </w:tcPr>
          <w:p>
            <w:pPr>
              <w:adjustRightInd w:val="0"/>
              <w:rPr>
                <w:color w:val="000000"/>
                <w:szCs w:val="21"/>
              </w:rPr>
            </w:pPr>
            <w:r>
              <w:rPr>
                <w:rFonts w:hAnsi="宋体"/>
                <w:color w:val="000000"/>
                <w:szCs w:val="21"/>
              </w:rPr>
              <w:t>（</w:t>
            </w:r>
            <w:r>
              <w:rPr>
                <w:color w:val="000000"/>
                <w:szCs w:val="21"/>
              </w:rPr>
              <w:t>23</w:t>
            </w:r>
            <w:r>
              <w:rPr>
                <w:rFonts w:hAnsi="宋体"/>
                <w:color w:val="000000"/>
                <w:szCs w:val="21"/>
              </w:rPr>
              <w:t>）是否对现有物资进行定期检查，对已消耗或耗损的物资装备进行及时补充。</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1283" w:type="dxa"/>
            <w:noWrap/>
            <w:vAlign w:val="center"/>
          </w:tcPr>
          <w:p>
            <w:pPr>
              <w:adjustRightInd w:val="0"/>
              <w:rPr>
                <w:color w:val="000000"/>
                <w:szCs w:val="21"/>
              </w:rPr>
            </w:pPr>
            <w:r>
              <w:rPr>
                <w:color w:val="000000"/>
                <w:szCs w:val="21"/>
              </w:rPr>
              <w:t>6.</w:t>
            </w:r>
            <w:r>
              <w:rPr>
                <w:rFonts w:hAnsi="宋体"/>
                <w:color w:val="000000"/>
                <w:szCs w:val="21"/>
              </w:rPr>
              <w:t>是否按规定公开突发环境事件应急预案及演练情况</w:t>
            </w:r>
          </w:p>
        </w:tc>
        <w:tc>
          <w:tcPr>
            <w:tcW w:w="5371" w:type="dxa"/>
            <w:noWrap/>
            <w:vAlign w:val="center"/>
          </w:tcPr>
          <w:p>
            <w:pPr>
              <w:adjustRightInd w:val="0"/>
              <w:rPr>
                <w:color w:val="000000"/>
                <w:szCs w:val="21"/>
              </w:rPr>
            </w:pPr>
            <w:r>
              <w:rPr>
                <w:rFonts w:hAnsi="宋体"/>
                <w:color w:val="000000"/>
                <w:szCs w:val="21"/>
              </w:rPr>
              <w:t>（</w:t>
            </w:r>
            <w:r>
              <w:rPr>
                <w:color w:val="000000"/>
                <w:szCs w:val="21"/>
              </w:rPr>
              <w:t>24</w:t>
            </w:r>
            <w:r>
              <w:rPr>
                <w:rFonts w:hAnsi="宋体"/>
                <w:color w:val="000000"/>
                <w:szCs w:val="21"/>
              </w:rPr>
              <w:t>）是否按规定公开突发环境事件应急预案及演练情况。</w:t>
            </w:r>
          </w:p>
        </w:tc>
        <w:tc>
          <w:tcPr>
            <w:tcW w:w="921" w:type="dxa"/>
            <w:noWrap/>
            <w:vAlign w:val="center"/>
          </w:tcPr>
          <w:p>
            <w:pPr>
              <w:adjustRightInd w:val="0"/>
              <w:jc w:val="left"/>
              <w:rPr>
                <w:color w:val="000000"/>
                <w:szCs w:val="21"/>
              </w:rPr>
            </w:pPr>
          </w:p>
        </w:tc>
        <w:tc>
          <w:tcPr>
            <w:tcW w:w="921" w:type="dxa"/>
            <w:noWrap/>
            <w:vAlign w:val="center"/>
          </w:tcPr>
          <w:p>
            <w:pPr>
              <w:adjustRightInd w:val="0"/>
              <w:jc w:val="left"/>
              <w:rPr>
                <w:color w:val="000000"/>
                <w:szCs w:val="21"/>
              </w:rPr>
            </w:pPr>
          </w:p>
        </w:tc>
        <w:tc>
          <w:tcPr>
            <w:tcW w:w="675" w:type="dxa"/>
            <w:noWrap/>
            <w:vAlign w:val="center"/>
          </w:tcPr>
          <w:p>
            <w:pPr>
              <w:adjustRightInd w:val="0"/>
              <w:jc w:val="left"/>
              <w:rPr>
                <w:color w:val="000000"/>
                <w:szCs w:val="21"/>
              </w:rPr>
            </w:pPr>
          </w:p>
        </w:tc>
      </w:tr>
    </w:tbl>
    <w:p>
      <w:pPr>
        <w:spacing w:line="548" w:lineRule="exact"/>
        <w:rPr>
          <w:rFonts w:ascii="黑体" w:hAnsi="黑体" w:eastAsia="黑体" w:cs="黑体"/>
          <w:sz w:val="32"/>
          <w:szCs w:val="32"/>
        </w:rPr>
      </w:pPr>
      <w:r>
        <w:rPr>
          <w:color w:val="000000"/>
        </w:rPr>
        <w:br w:type="page"/>
      </w:r>
      <w:r>
        <w:rPr>
          <w:rFonts w:hint="eastAsia" w:ascii="黑体" w:hAnsi="黑体" w:eastAsia="黑体" w:cs="黑体"/>
          <w:sz w:val="32"/>
          <w:szCs w:val="32"/>
        </w:rPr>
        <w:t>附件4</w:t>
      </w:r>
    </w:p>
    <w:p>
      <w:pPr>
        <w:adjustRightInd w:val="0"/>
        <w:jc w:val="left"/>
        <w:rPr>
          <w:rFonts w:eastAsia="黑体"/>
          <w:color w:val="000000"/>
          <w:sz w:val="38"/>
          <w:szCs w:val="38"/>
        </w:rPr>
      </w:pPr>
    </w:p>
    <w:p>
      <w:pPr>
        <w:adjustRightInd w:val="0"/>
        <w:jc w:val="center"/>
        <w:rPr>
          <w:rFonts w:eastAsia="方正小标宋_GBK"/>
          <w:color w:val="000000"/>
          <w:sz w:val="38"/>
          <w:szCs w:val="38"/>
        </w:rPr>
      </w:pPr>
      <w:r>
        <w:rPr>
          <w:rFonts w:eastAsia="方正小标宋_GBK"/>
          <w:color w:val="000000"/>
          <w:sz w:val="38"/>
          <w:szCs w:val="38"/>
        </w:rPr>
        <w:t>企业突发环境事件风险防控措施隐患排查表</w:t>
      </w:r>
    </w:p>
    <w:p>
      <w:pPr>
        <w:adjustRightInd w:val="0"/>
        <w:spacing w:beforeLines="60"/>
        <w:jc w:val="center"/>
        <w:rPr>
          <w:rFonts w:eastAsia="楷体_GB2312"/>
          <w:color w:val="000000"/>
        </w:rPr>
      </w:pPr>
      <w:r>
        <w:rPr>
          <w:rFonts w:hint="eastAsia" w:eastAsia="楷体_GB2312"/>
          <w:color w:val="000000"/>
        </w:rPr>
        <w:t>（企业可参考本表制定符合本企业实际情况的自查用表。</w:t>
      </w:r>
    </w:p>
    <w:p>
      <w:pPr>
        <w:adjustRightInd w:val="0"/>
        <w:spacing w:beforeLines="60"/>
        <w:jc w:val="center"/>
        <w:rPr>
          <w:rFonts w:eastAsia="楷体_GB2312"/>
          <w:color w:val="000000"/>
        </w:rPr>
      </w:pPr>
      <w:r>
        <w:rPr>
          <w:rFonts w:hint="eastAsia" w:eastAsia="楷体_GB2312"/>
          <w:color w:val="000000"/>
        </w:rPr>
        <w:t>一般企业有多个风险单元，应针对每个单元制定相应的隐患排查表。）</w:t>
      </w:r>
    </w:p>
    <w:p>
      <w:pPr>
        <w:adjustRightInd w:val="0"/>
        <w:spacing w:afterLines="50"/>
        <w:jc w:val="left"/>
        <w:rPr>
          <w:rFonts w:eastAsia="仿宋_GB2312"/>
          <w:b/>
          <w:color w:val="000000"/>
          <w:sz w:val="24"/>
        </w:rPr>
      </w:pPr>
      <w:r>
        <w:rPr>
          <w:rFonts w:eastAsia="仿宋_GB2312"/>
          <w:b/>
          <w:color w:val="000000"/>
          <w:sz w:val="24"/>
        </w:rPr>
        <w:t>排查时间：  年  月  日                现场排查负责人（签字）</w:t>
      </w:r>
      <w:r>
        <w:rPr>
          <w:rFonts w:hint="eastAsia" w:eastAsia="仿宋_GB2312"/>
          <w:b/>
          <w:color w:val="000000"/>
          <w:sz w:val="24"/>
        </w:rPr>
        <w:t>：</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
      <w:tblGrid>
        <w:gridCol w:w="4721"/>
        <w:gridCol w:w="725"/>
        <w:gridCol w:w="1598"/>
        <w:gridCol w:w="670"/>
        <w:gridCol w:w="674"/>
        <w:gridCol w:w="6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4721" w:type="dxa"/>
            <w:noWrap/>
            <w:vAlign w:val="center"/>
          </w:tcPr>
          <w:p>
            <w:pPr>
              <w:adjustRightInd w:val="0"/>
              <w:jc w:val="center"/>
              <w:rPr>
                <w:rFonts w:eastAsia="黑体"/>
                <w:color w:val="000000"/>
                <w:szCs w:val="21"/>
              </w:rPr>
            </w:pPr>
            <w:r>
              <w:rPr>
                <w:rFonts w:eastAsia="黑体"/>
                <w:color w:val="000000"/>
                <w:spacing w:val="60"/>
                <w:szCs w:val="21"/>
              </w:rPr>
              <w:t>排查项</w:t>
            </w:r>
            <w:r>
              <w:rPr>
                <w:rFonts w:eastAsia="黑体"/>
                <w:color w:val="000000"/>
                <w:szCs w:val="21"/>
              </w:rPr>
              <w:t>目</w:t>
            </w:r>
          </w:p>
        </w:tc>
        <w:tc>
          <w:tcPr>
            <w:tcW w:w="725" w:type="dxa"/>
            <w:noWrap/>
            <w:vAlign w:val="center"/>
          </w:tcPr>
          <w:p>
            <w:pPr>
              <w:adjustRightInd w:val="0"/>
              <w:jc w:val="center"/>
              <w:rPr>
                <w:rFonts w:eastAsia="黑体"/>
                <w:color w:val="000000"/>
                <w:szCs w:val="21"/>
              </w:rPr>
            </w:pPr>
            <w:r>
              <w:rPr>
                <w:rFonts w:eastAsia="黑体"/>
                <w:color w:val="000000"/>
                <w:szCs w:val="21"/>
              </w:rPr>
              <w:t>现状</w:t>
            </w:r>
          </w:p>
        </w:tc>
        <w:tc>
          <w:tcPr>
            <w:tcW w:w="1598" w:type="dxa"/>
            <w:noWrap/>
            <w:vAlign w:val="center"/>
          </w:tcPr>
          <w:p>
            <w:pPr>
              <w:adjustRightInd w:val="0"/>
              <w:jc w:val="center"/>
              <w:rPr>
                <w:rFonts w:eastAsia="黑体"/>
                <w:color w:val="000000"/>
                <w:spacing w:val="-10"/>
                <w:szCs w:val="21"/>
              </w:rPr>
            </w:pPr>
            <w:r>
              <w:rPr>
                <w:rFonts w:eastAsia="黑体"/>
                <w:color w:val="000000"/>
                <w:spacing w:val="-10"/>
                <w:szCs w:val="21"/>
              </w:rPr>
              <w:t>可能导致的危害</w:t>
            </w:r>
          </w:p>
          <w:p>
            <w:pPr>
              <w:adjustRightInd w:val="0"/>
              <w:jc w:val="center"/>
              <w:rPr>
                <w:rFonts w:eastAsia="黑体"/>
                <w:color w:val="000000"/>
                <w:spacing w:val="-10"/>
                <w:szCs w:val="21"/>
              </w:rPr>
            </w:pPr>
            <w:r>
              <w:rPr>
                <w:rFonts w:eastAsia="黑体"/>
                <w:color w:val="000000"/>
                <w:spacing w:val="-10"/>
                <w:szCs w:val="21"/>
              </w:rPr>
              <w:t>(是隐患的填写)</w:t>
            </w:r>
          </w:p>
        </w:tc>
        <w:tc>
          <w:tcPr>
            <w:tcW w:w="670" w:type="dxa"/>
            <w:noWrap/>
            <w:vAlign w:val="center"/>
          </w:tcPr>
          <w:p>
            <w:pPr>
              <w:adjustRightInd w:val="0"/>
              <w:jc w:val="center"/>
              <w:rPr>
                <w:rFonts w:eastAsia="黑体"/>
                <w:color w:val="000000"/>
                <w:szCs w:val="21"/>
              </w:rPr>
            </w:pPr>
            <w:r>
              <w:rPr>
                <w:rFonts w:eastAsia="黑体"/>
                <w:color w:val="000000"/>
                <w:szCs w:val="21"/>
              </w:rPr>
              <w:t>隐患</w:t>
            </w:r>
          </w:p>
          <w:p>
            <w:pPr>
              <w:adjustRightInd w:val="0"/>
              <w:jc w:val="center"/>
              <w:rPr>
                <w:rFonts w:eastAsia="黑体"/>
                <w:color w:val="000000"/>
                <w:szCs w:val="21"/>
              </w:rPr>
            </w:pPr>
            <w:r>
              <w:rPr>
                <w:rFonts w:eastAsia="黑体"/>
                <w:color w:val="000000"/>
                <w:szCs w:val="21"/>
              </w:rPr>
              <w:t>级别</w:t>
            </w:r>
          </w:p>
        </w:tc>
        <w:tc>
          <w:tcPr>
            <w:tcW w:w="674" w:type="dxa"/>
            <w:noWrap/>
            <w:vAlign w:val="center"/>
          </w:tcPr>
          <w:p>
            <w:pPr>
              <w:adjustRightInd w:val="0"/>
              <w:jc w:val="center"/>
              <w:rPr>
                <w:rFonts w:eastAsia="黑体"/>
                <w:color w:val="000000"/>
                <w:szCs w:val="21"/>
              </w:rPr>
            </w:pPr>
            <w:r>
              <w:rPr>
                <w:rFonts w:eastAsia="黑体"/>
                <w:color w:val="000000"/>
                <w:szCs w:val="21"/>
              </w:rPr>
              <w:t>治理</w:t>
            </w:r>
          </w:p>
          <w:p>
            <w:pPr>
              <w:adjustRightInd w:val="0"/>
              <w:jc w:val="center"/>
              <w:rPr>
                <w:rFonts w:eastAsia="黑体"/>
                <w:color w:val="000000"/>
                <w:szCs w:val="21"/>
              </w:rPr>
            </w:pPr>
            <w:r>
              <w:rPr>
                <w:rFonts w:eastAsia="黑体"/>
                <w:color w:val="000000"/>
                <w:szCs w:val="21"/>
              </w:rPr>
              <w:t>期限</w:t>
            </w:r>
          </w:p>
        </w:tc>
        <w:tc>
          <w:tcPr>
            <w:tcW w:w="672" w:type="dxa"/>
            <w:noWrap/>
            <w:vAlign w:val="center"/>
          </w:tcPr>
          <w:p>
            <w:pPr>
              <w:adjustRightInd w:val="0"/>
              <w:jc w:val="center"/>
              <w:rPr>
                <w:rFonts w:eastAsia="黑体"/>
                <w:color w:val="000000"/>
                <w:szCs w:val="21"/>
              </w:rPr>
            </w:pPr>
            <w:r>
              <w:rPr>
                <w:rFonts w:eastAsia="黑体"/>
                <w:color w:val="000000"/>
                <w:szCs w:val="21"/>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9060" w:type="dxa"/>
            <w:gridSpan w:val="6"/>
            <w:noWrap/>
            <w:vAlign w:val="center"/>
          </w:tcPr>
          <w:p>
            <w:pPr>
              <w:adjustRightInd w:val="0"/>
              <w:jc w:val="center"/>
              <w:rPr>
                <w:b/>
                <w:color w:val="000000"/>
                <w:szCs w:val="21"/>
              </w:rPr>
            </w:pPr>
            <w:r>
              <w:rPr>
                <w:rFonts w:hAnsi="宋体"/>
                <w:b/>
                <w:color w:val="000000"/>
                <w:szCs w:val="21"/>
              </w:rPr>
              <w:t>一、中间事故缓冲设施、事故应急水池或事故存液池（以下统称应急池）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w:t>
            </w:r>
            <w:r>
              <w:rPr>
                <w:rFonts w:hAnsi="宋体"/>
                <w:color w:val="000000"/>
                <w:szCs w:val="21"/>
              </w:rPr>
              <w:t>是否设置应急池。</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2.</w:t>
            </w:r>
            <w:r>
              <w:rPr>
                <w:rFonts w:hAnsi="宋体"/>
                <w:color w:val="000000"/>
                <w:szCs w:val="21"/>
              </w:rPr>
              <w:t>应急池容积是否满足环评文件及批复等相关文件要求。</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pacing w:val="-4"/>
                <w:szCs w:val="21"/>
              </w:rPr>
            </w:pPr>
            <w:r>
              <w:rPr>
                <w:color w:val="000000"/>
                <w:spacing w:val="-4"/>
                <w:szCs w:val="21"/>
              </w:rPr>
              <w:t>3.</w:t>
            </w:r>
            <w:r>
              <w:rPr>
                <w:rFonts w:hAnsi="宋体"/>
                <w:color w:val="000000"/>
                <w:spacing w:val="-4"/>
                <w:szCs w:val="21"/>
              </w:rPr>
              <w:t>应急池在非事故状态下需占用时，是否符合相关要求，并设有在事故时可以紧急排空的技术措施。</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4.</w:t>
            </w:r>
            <w:r>
              <w:rPr>
                <w:rFonts w:hAnsi="宋体"/>
                <w:color w:val="000000"/>
                <w:szCs w:val="21"/>
              </w:rPr>
              <w:t>应急池位置是否合理，消防水和泄漏物是否能自流进入应急池；如消防水和泄漏物不能自流进入应急池，是否配备有足够能力的排水管和泵，确保泄漏物和消防水能够全部收集。</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5.</w:t>
            </w:r>
            <w:r>
              <w:rPr>
                <w:rFonts w:hAnsi="宋体"/>
                <w:color w:val="000000"/>
                <w:szCs w:val="21"/>
              </w:rPr>
              <w:t>接纳消防水的排水系统是否具有接纳最大消防水量的能力，是否设有防止消防水和泄漏物排出厂外的措施。</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6.</w:t>
            </w:r>
            <w:r>
              <w:rPr>
                <w:rFonts w:hAnsi="宋体"/>
                <w:color w:val="000000"/>
                <w:szCs w:val="21"/>
              </w:rPr>
              <w:t>是否通过厂区内部管线或协议单位，将所收集的废（污）水送至污水处理设施处理。</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9060" w:type="dxa"/>
            <w:gridSpan w:val="6"/>
            <w:noWrap/>
            <w:vAlign w:val="center"/>
          </w:tcPr>
          <w:p>
            <w:pPr>
              <w:adjustRightInd w:val="0"/>
              <w:jc w:val="center"/>
              <w:rPr>
                <w:b/>
                <w:color w:val="000000"/>
                <w:szCs w:val="21"/>
              </w:rPr>
            </w:pPr>
            <w:r>
              <w:rPr>
                <w:rFonts w:hAnsi="宋体"/>
                <w:b/>
                <w:color w:val="000000"/>
                <w:szCs w:val="21"/>
              </w:rPr>
              <w:t>二、厂内排水系统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7.</w:t>
            </w:r>
            <w:r>
              <w:rPr>
                <w:rFonts w:hAnsi="宋体"/>
                <w:color w:val="000000"/>
                <w:szCs w:val="21"/>
              </w:rPr>
              <w:t>装置区围堰、罐区防火堤外是否设置排水切换阀，正常情况下通向雨水系统的阀门是否关闭，通向应急池或污水处理系统的阀门是否打开。</w:t>
            </w:r>
          </w:p>
        </w:tc>
        <w:tc>
          <w:tcPr>
            <w:tcW w:w="725" w:type="dxa"/>
            <w:noWrap/>
            <w:vAlign w:val="center"/>
          </w:tcPr>
          <w:p>
            <w:pPr>
              <w:adjustRightInd w:val="0"/>
              <w:jc w:val="center"/>
              <w:rPr>
                <w:b/>
                <w:color w:val="000000"/>
                <w:szCs w:val="21"/>
              </w:rPr>
            </w:pPr>
          </w:p>
        </w:tc>
        <w:tc>
          <w:tcPr>
            <w:tcW w:w="1598" w:type="dxa"/>
            <w:noWrap/>
            <w:vAlign w:val="center"/>
          </w:tcPr>
          <w:p>
            <w:pPr>
              <w:adjustRightInd w:val="0"/>
              <w:jc w:val="center"/>
              <w:rPr>
                <w:b/>
                <w:color w:val="000000"/>
                <w:szCs w:val="21"/>
              </w:rPr>
            </w:pPr>
          </w:p>
        </w:tc>
        <w:tc>
          <w:tcPr>
            <w:tcW w:w="670" w:type="dxa"/>
            <w:noWrap/>
            <w:vAlign w:val="center"/>
          </w:tcPr>
          <w:p>
            <w:pPr>
              <w:adjustRightInd w:val="0"/>
              <w:jc w:val="center"/>
              <w:rPr>
                <w:b/>
                <w:color w:val="000000"/>
                <w:szCs w:val="21"/>
              </w:rPr>
            </w:pPr>
          </w:p>
        </w:tc>
        <w:tc>
          <w:tcPr>
            <w:tcW w:w="674" w:type="dxa"/>
            <w:noWrap/>
            <w:vAlign w:val="center"/>
          </w:tcPr>
          <w:p>
            <w:pPr>
              <w:adjustRightInd w:val="0"/>
              <w:jc w:val="center"/>
              <w:rPr>
                <w:b/>
                <w:color w:val="000000"/>
                <w:szCs w:val="21"/>
              </w:rPr>
            </w:pPr>
          </w:p>
        </w:tc>
        <w:tc>
          <w:tcPr>
            <w:tcW w:w="672" w:type="dxa"/>
            <w:noWrap/>
            <w:vAlign w:val="center"/>
          </w:tcPr>
          <w:p>
            <w:pPr>
              <w:adjustRightInd w:val="0"/>
              <w:jc w:val="center"/>
              <w:rPr>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8.</w:t>
            </w:r>
            <w:r>
              <w:rPr>
                <w:rFonts w:hAnsi="宋体"/>
                <w:color w:val="000000"/>
                <w:szCs w:val="21"/>
              </w:rPr>
              <w:t>所有生产装置、罐区、油品及化学原料装卸台、作业场所和危险废物贮存设施（场所）的墙壁、地面冲洗水和受污染的雨水（初期雨水）、消防水，是否都能排入生产废水系统或独立的处理系统。</w:t>
            </w:r>
          </w:p>
        </w:tc>
        <w:tc>
          <w:tcPr>
            <w:tcW w:w="725" w:type="dxa"/>
            <w:noWrap/>
            <w:vAlign w:val="center"/>
          </w:tcPr>
          <w:p>
            <w:pPr>
              <w:adjustRightInd w:val="0"/>
              <w:jc w:val="center"/>
              <w:rPr>
                <w:b/>
                <w:color w:val="000000"/>
                <w:szCs w:val="21"/>
              </w:rPr>
            </w:pPr>
          </w:p>
        </w:tc>
        <w:tc>
          <w:tcPr>
            <w:tcW w:w="1598" w:type="dxa"/>
            <w:noWrap/>
            <w:vAlign w:val="center"/>
          </w:tcPr>
          <w:p>
            <w:pPr>
              <w:adjustRightInd w:val="0"/>
              <w:jc w:val="center"/>
              <w:rPr>
                <w:b/>
                <w:color w:val="000000"/>
                <w:szCs w:val="21"/>
              </w:rPr>
            </w:pPr>
          </w:p>
        </w:tc>
        <w:tc>
          <w:tcPr>
            <w:tcW w:w="670" w:type="dxa"/>
            <w:noWrap/>
            <w:vAlign w:val="center"/>
          </w:tcPr>
          <w:p>
            <w:pPr>
              <w:adjustRightInd w:val="0"/>
              <w:jc w:val="center"/>
              <w:rPr>
                <w:b/>
                <w:color w:val="000000"/>
                <w:szCs w:val="21"/>
              </w:rPr>
            </w:pPr>
          </w:p>
        </w:tc>
        <w:tc>
          <w:tcPr>
            <w:tcW w:w="674" w:type="dxa"/>
            <w:noWrap/>
            <w:vAlign w:val="center"/>
          </w:tcPr>
          <w:p>
            <w:pPr>
              <w:adjustRightInd w:val="0"/>
              <w:jc w:val="center"/>
              <w:rPr>
                <w:b/>
                <w:color w:val="000000"/>
                <w:szCs w:val="21"/>
              </w:rPr>
            </w:pPr>
          </w:p>
        </w:tc>
        <w:tc>
          <w:tcPr>
            <w:tcW w:w="672" w:type="dxa"/>
            <w:noWrap/>
            <w:vAlign w:val="center"/>
          </w:tcPr>
          <w:p>
            <w:pPr>
              <w:adjustRightInd w:val="0"/>
              <w:jc w:val="center"/>
              <w:rPr>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9.</w:t>
            </w:r>
            <w:r>
              <w:rPr>
                <w:rFonts w:hAnsi="宋体"/>
                <w:color w:val="000000"/>
                <w:szCs w:val="21"/>
              </w:rPr>
              <w:t>是否有防止受污染的冷却水、雨水进入雨水系统的措施，受污染的冷却水是否都能排入生产废水系统或独立的处理系统。</w:t>
            </w:r>
          </w:p>
        </w:tc>
        <w:tc>
          <w:tcPr>
            <w:tcW w:w="725" w:type="dxa"/>
            <w:noWrap/>
            <w:vAlign w:val="center"/>
          </w:tcPr>
          <w:p>
            <w:pPr>
              <w:adjustRightInd w:val="0"/>
              <w:jc w:val="center"/>
              <w:rPr>
                <w:b/>
                <w:color w:val="000000"/>
                <w:szCs w:val="21"/>
              </w:rPr>
            </w:pPr>
          </w:p>
        </w:tc>
        <w:tc>
          <w:tcPr>
            <w:tcW w:w="1598" w:type="dxa"/>
            <w:noWrap/>
            <w:vAlign w:val="center"/>
          </w:tcPr>
          <w:p>
            <w:pPr>
              <w:adjustRightInd w:val="0"/>
              <w:jc w:val="center"/>
              <w:rPr>
                <w:b/>
                <w:color w:val="000000"/>
                <w:szCs w:val="21"/>
              </w:rPr>
            </w:pPr>
          </w:p>
        </w:tc>
        <w:tc>
          <w:tcPr>
            <w:tcW w:w="670" w:type="dxa"/>
            <w:noWrap/>
            <w:vAlign w:val="center"/>
          </w:tcPr>
          <w:p>
            <w:pPr>
              <w:adjustRightInd w:val="0"/>
              <w:jc w:val="center"/>
              <w:rPr>
                <w:b/>
                <w:color w:val="000000"/>
                <w:szCs w:val="21"/>
              </w:rPr>
            </w:pPr>
          </w:p>
        </w:tc>
        <w:tc>
          <w:tcPr>
            <w:tcW w:w="674" w:type="dxa"/>
            <w:noWrap/>
            <w:vAlign w:val="center"/>
          </w:tcPr>
          <w:p>
            <w:pPr>
              <w:adjustRightInd w:val="0"/>
              <w:jc w:val="center"/>
              <w:rPr>
                <w:b/>
                <w:color w:val="000000"/>
                <w:szCs w:val="21"/>
              </w:rPr>
            </w:pPr>
          </w:p>
        </w:tc>
        <w:tc>
          <w:tcPr>
            <w:tcW w:w="672" w:type="dxa"/>
            <w:noWrap/>
            <w:vAlign w:val="center"/>
          </w:tcPr>
          <w:p>
            <w:pPr>
              <w:adjustRightInd w:val="0"/>
              <w:jc w:val="center"/>
              <w:rPr>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10.</w:t>
            </w:r>
            <w:r>
              <w:rPr>
                <w:rFonts w:hAnsi="宋体"/>
                <w:color w:val="000000"/>
                <w:szCs w:val="21"/>
              </w:rPr>
              <w:t>各种装卸区（包括厂区码头、铁路、公路）产生的事故液、作业面污水是否设置污水和事故液收集系统，是否有防止事故液、作业面污水进入雨水系统或水域的措施。</w:t>
            </w:r>
          </w:p>
        </w:tc>
        <w:tc>
          <w:tcPr>
            <w:tcW w:w="725" w:type="dxa"/>
            <w:noWrap/>
            <w:vAlign w:val="center"/>
          </w:tcPr>
          <w:p>
            <w:pPr>
              <w:adjustRightInd w:val="0"/>
              <w:jc w:val="center"/>
              <w:rPr>
                <w:b/>
                <w:color w:val="000000"/>
                <w:szCs w:val="21"/>
              </w:rPr>
            </w:pPr>
          </w:p>
        </w:tc>
        <w:tc>
          <w:tcPr>
            <w:tcW w:w="1598" w:type="dxa"/>
            <w:noWrap/>
            <w:vAlign w:val="center"/>
          </w:tcPr>
          <w:p>
            <w:pPr>
              <w:adjustRightInd w:val="0"/>
              <w:jc w:val="center"/>
              <w:rPr>
                <w:b/>
                <w:color w:val="000000"/>
                <w:szCs w:val="21"/>
              </w:rPr>
            </w:pPr>
          </w:p>
        </w:tc>
        <w:tc>
          <w:tcPr>
            <w:tcW w:w="670" w:type="dxa"/>
            <w:noWrap/>
            <w:vAlign w:val="center"/>
          </w:tcPr>
          <w:p>
            <w:pPr>
              <w:adjustRightInd w:val="0"/>
              <w:jc w:val="center"/>
              <w:rPr>
                <w:b/>
                <w:color w:val="000000"/>
                <w:szCs w:val="21"/>
              </w:rPr>
            </w:pPr>
          </w:p>
        </w:tc>
        <w:tc>
          <w:tcPr>
            <w:tcW w:w="674" w:type="dxa"/>
            <w:noWrap/>
            <w:vAlign w:val="center"/>
          </w:tcPr>
          <w:p>
            <w:pPr>
              <w:adjustRightInd w:val="0"/>
              <w:jc w:val="center"/>
              <w:rPr>
                <w:b/>
                <w:color w:val="000000"/>
                <w:szCs w:val="21"/>
              </w:rPr>
            </w:pPr>
          </w:p>
        </w:tc>
        <w:tc>
          <w:tcPr>
            <w:tcW w:w="672" w:type="dxa"/>
            <w:noWrap/>
            <w:vAlign w:val="center"/>
          </w:tcPr>
          <w:p>
            <w:pPr>
              <w:adjustRightInd w:val="0"/>
              <w:jc w:val="center"/>
              <w:rPr>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11.</w:t>
            </w:r>
            <w:r>
              <w:rPr>
                <w:rFonts w:hAnsi="宋体"/>
                <w:color w:val="000000"/>
                <w:szCs w:val="21"/>
              </w:rPr>
              <w:t>有排洪沟（排洪涵洞）或河道穿过厂区时，排洪沟（排洪涵洞）是否与渗漏观察井、生产废水、清净下水排放管道连通。</w:t>
            </w:r>
          </w:p>
        </w:tc>
        <w:tc>
          <w:tcPr>
            <w:tcW w:w="725" w:type="dxa"/>
            <w:noWrap/>
            <w:vAlign w:val="center"/>
          </w:tcPr>
          <w:p>
            <w:pPr>
              <w:adjustRightInd w:val="0"/>
              <w:jc w:val="center"/>
              <w:rPr>
                <w:b/>
                <w:color w:val="000000"/>
                <w:szCs w:val="21"/>
              </w:rPr>
            </w:pPr>
          </w:p>
        </w:tc>
        <w:tc>
          <w:tcPr>
            <w:tcW w:w="1598" w:type="dxa"/>
            <w:noWrap/>
            <w:vAlign w:val="center"/>
          </w:tcPr>
          <w:p>
            <w:pPr>
              <w:adjustRightInd w:val="0"/>
              <w:jc w:val="center"/>
              <w:rPr>
                <w:b/>
                <w:color w:val="000000"/>
                <w:szCs w:val="21"/>
              </w:rPr>
            </w:pPr>
          </w:p>
        </w:tc>
        <w:tc>
          <w:tcPr>
            <w:tcW w:w="670" w:type="dxa"/>
            <w:noWrap/>
            <w:vAlign w:val="center"/>
          </w:tcPr>
          <w:p>
            <w:pPr>
              <w:adjustRightInd w:val="0"/>
              <w:jc w:val="center"/>
              <w:rPr>
                <w:b/>
                <w:color w:val="000000"/>
                <w:szCs w:val="21"/>
              </w:rPr>
            </w:pPr>
          </w:p>
        </w:tc>
        <w:tc>
          <w:tcPr>
            <w:tcW w:w="674" w:type="dxa"/>
            <w:noWrap/>
            <w:vAlign w:val="center"/>
          </w:tcPr>
          <w:p>
            <w:pPr>
              <w:adjustRightInd w:val="0"/>
              <w:jc w:val="center"/>
              <w:rPr>
                <w:b/>
                <w:color w:val="000000"/>
                <w:szCs w:val="21"/>
              </w:rPr>
            </w:pPr>
          </w:p>
        </w:tc>
        <w:tc>
          <w:tcPr>
            <w:tcW w:w="672" w:type="dxa"/>
            <w:noWrap/>
            <w:vAlign w:val="center"/>
          </w:tcPr>
          <w:p>
            <w:pPr>
              <w:adjustRightInd w:val="0"/>
              <w:jc w:val="center"/>
              <w:rPr>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9060" w:type="dxa"/>
            <w:gridSpan w:val="6"/>
            <w:noWrap/>
            <w:vAlign w:val="center"/>
          </w:tcPr>
          <w:p>
            <w:pPr>
              <w:adjustRightInd w:val="0"/>
              <w:jc w:val="center"/>
              <w:rPr>
                <w:color w:val="000000"/>
                <w:szCs w:val="21"/>
              </w:rPr>
            </w:pPr>
            <w:r>
              <w:rPr>
                <w:rFonts w:hAnsi="宋体"/>
                <w:b/>
                <w:color w:val="000000"/>
                <w:szCs w:val="21"/>
              </w:rPr>
              <w:t>三、雨水、清净下水和污（废）水的总排口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12.</w:t>
            </w:r>
            <w:r>
              <w:rPr>
                <w:rFonts w:hAnsi="宋体"/>
                <w:color w:val="000000"/>
                <w:szCs w:val="21"/>
              </w:rPr>
              <w:t>雨水、清净下水、排洪沟的厂区总排口是否设置监视及关闭闸（阀），是否设专人负责在紧急情况下关闭总排口，确保受污染的雨水、消防水和泄漏物等排出厂界。</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13.</w:t>
            </w:r>
            <w:r>
              <w:rPr>
                <w:rFonts w:hAnsi="宋体"/>
                <w:color w:val="000000"/>
                <w:szCs w:val="21"/>
              </w:rPr>
              <w:t>污（废）水的排水总出口是否设置监视及关闭闸（阀），是否设专人负责关闭总排口，确保不合格废水、受污染的消防水和泄漏物等不会排出厂界。</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9060" w:type="dxa"/>
            <w:gridSpan w:val="6"/>
            <w:noWrap/>
            <w:vAlign w:val="center"/>
          </w:tcPr>
          <w:p>
            <w:pPr>
              <w:adjustRightInd w:val="0"/>
              <w:jc w:val="center"/>
              <w:rPr>
                <w:b/>
                <w:color w:val="000000"/>
                <w:szCs w:val="21"/>
              </w:rPr>
            </w:pPr>
            <w:r>
              <w:rPr>
                <w:rFonts w:hAnsi="宋体"/>
                <w:b/>
                <w:color w:val="000000"/>
                <w:szCs w:val="21"/>
              </w:rPr>
              <w:t>四、突发大气环境事件风险防控措施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14.</w:t>
            </w:r>
            <w:r>
              <w:rPr>
                <w:rFonts w:hAnsi="宋体"/>
                <w:color w:val="000000"/>
                <w:szCs w:val="21"/>
              </w:rPr>
              <w:t>企业与周边重要环境风险受体的各种防护距离是否符合环境影响评价文件及批复的要求。</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15.</w:t>
            </w:r>
            <w:r>
              <w:rPr>
                <w:rFonts w:hAnsi="宋体"/>
                <w:color w:val="000000"/>
                <w:szCs w:val="21"/>
              </w:rPr>
              <w:t>涉有毒有害大气污染物名录的企业是否在厂界建设针对有毒有害污染物的环境风险预警体系。</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16.</w:t>
            </w:r>
            <w:r>
              <w:rPr>
                <w:rFonts w:hAnsi="宋体"/>
                <w:color w:val="000000"/>
                <w:szCs w:val="21"/>
              </w:rPr>
              <w:t>涉有毒有害大气污染物名录的企业是否定期监测或委托监测有毒有害大气特征污染物。</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jc w:val="center"/>
        </w:trPr>
        <w:tc>
          <w:tcPr>
            <w:tcW w:w="4721" w:type="dxa"/>
            <w:noWrap/>
            <w:vAlign w:val="center"/>
          </w:tcPr>
          <w:p>
            <w:pPr>
              <w:adjustRightInd w:val="0"/>
              <w:rPr>
                <w:color w:val="000000"/>
                <w:szCs w:val="21"/>
              </w:rPr>
            </w:pPr>
            <w:r>
              <w:rPr>
                <w:color w:val="000000"/>
                <w:szCs w:val="21"/>
              </w:rPr>
              <w:t>17.</w:t>
            </w:r>
            <w:r>
              <w:rPr>
                <w:rFonts w:hAnsi="宋体"/>
                <w:color w:val="000000"/>
                <w:szCs w:val="21"/>
              </w:rPr>
              <w:t>突发环境事件信息通报机制建立情况，是否能在突发环境事件发生后及时通报可能受到污染危害的单位和居民。</w:t>
            </w:r>
          </w:p>
        </w:tc>
        <w:tc>
          <w:tcPr>
            <w:tcW w:w="725" w:type="dxa"/>
            <w:noWrap/>
            <w:vAlign w:val="center"/>
          </w:tcPr>
          <w:p>
            <w:pPr>
              <w:adjustRightInd w:val="0"/>
              <w:jc w:val="center"/>
              <w:rPr>
                <w:color w:val="000000"/>
                <w:szCs w:val="21"/>
              </w:rPr>
            </w:pPr>
          </w:p>
        </w:tc>
        <w:tc>
          <w:tcPr>
            <w:tcW w:w="1598" w:type="dxa"/>
            <w:noWrap/>
            <w:vAlign w:val="center"/>
          </w:tcPr>
          <w:p>
            <w:pPr>
              <w:adjustRightInd w:val="0"/>
              <w:jc w:val="center"/>
              <w:rPr>
                <w:color w:val="000000"/>
                <w:szCs w:val="21"/>
              </w:rPr>
            </w:pPr>
          </w:p>
        </w:tc>
        <w:tc>
          <w:tcPr>
            <w:tcW w:w="670" w:type="dxa"/>
            <w:noWrap/>
            <w:vAlign w:val="center"/>
          </w:tcPr>
          <w:p>
            <w:pPr>
              <w:adjustRightInd w:val="0"/>
              <w:jc w:val="center"/>
              <w:rPr>
                <w:color w:val="000000"/>
                <w:szCs w:val="21"/>
              </w:rPr>
            </w:pPr>
          </w:p>
        </w:tc>
        <w:tc>
          <w:tcPr>
            <w:tcW w:w="674" w:type="dxa"/>
            <w:noWrap/>
            <w:vAlign w:val="center"/>
          </w:tcPr>
          <w:p>
            <w:pPr>
              <w:adjustRightInd w:val="0"/>
              <w:jc w:val="center"/>
              <w:rPr>
                <w:color w:val="000000"/>
                <w:szCs w:val="21"/>
              </w:rPr>
            </w:pPr>
          </w:p>
        </w:tc>
        <w:tc>
          <w:tcPr>
            <w:tcW w:w="672" w:type="dxa"/>
            <w:noWrap/>
            <w:vAlign w:val="center"/>
          </w:tcPr>
          <w:p>
            <w:pPr>
              <w:adjustRightInd w:val="0"/>
              <w:jc w:val="center"/>
              <w:rPr>
                <w:color w:val="000000"/>
                <w:szCs w:val="21"/>
              </w:rPr>
            </w:pPr>
          </w:p>
        </w:tc>
      </w:tr>
    </w:tbl>
    <w:p>
      <w:pPr>
        <w:adjustRightInd w:val="0"/>
        <w:jc w:val="left"/>
        <w:rPr>
          <w:color w:val="000000"/>
        </w:rPr>
      </w:pPr>
    </w:p>
    <w:p>
      <w:pPr>
        <w:pStyle w:val="2"/>
        <w:ind w:firstLine="320" w:firstLineChars="200"/>
        <w:jc w:val="both"/>
        <w:rPr>
          <w:color w:val="000000"/>
        </w:rPr>
      </w:pPr>
    </w:p>
    <w:p>
      <w:pPr>
        <w:rPr>
          <w:color w:val="000000"/>
        </w:rPr>
      </w:pPr>
    </w:p>
    <w:p>
      <w:pPr>
        <w:rPr>
          <w:b/>
          <w:bCs/>
          <w:color w:val="000000"/>
          <w:kern w:val="44"/>
          <w:sz w:val="44"/>
          <w:szCs w:val="44"/>
        </w:rPr>
      </w:pPr>
    </w:p>
    <w:p>
      <w:pPr>
        <w:rPr>
          <w:rFonts w:eastAsia="黑体"/>
          <w:color w:val="000000"/>
        </w:rPr>
      </w:pPr>
    </w:p>
    <w:p>
      <w:pPr>
        <w:rPr>
          <w:rFonts w:eastAsia="黑体"/>
          <w:color w:val="000000"/>
        </w:rPr>
      </w:pPr>
    </w:p>
    <w:p>
      <w:pPr>
        <w:rPr>
          <w:rFonts w:ascii="方正小标宋简体" w:eastAsia="方正小标宋简体"/>
          <w:sz w:val="36"/>
          <w:szCs w:val="36"/>
        </w:rPr>
      </w:pPr>
    </w:p>
    <w:p>
      <w:pPr>
        <w:adjustRightInd w:val="0"/>
        <w:jc w:val="left"/>
        <w:rPr>
          <w:rFonts w:hAnsi="黑体" w:eastAsia="黑体"/>
          <w:color w:val="000000"/>
          <w:szCs w:val="32"/>
        </w:rPr>
        <w:sectPr>
          <w:footerReference r:id="rId3" w:type="default"/>
          <w:pgSz w:w="11906" w:h="16838"/>
          <w:pgMar w:top="1440" w:right="1800" w:bottom="1440" w:left="1800" w:header="851" w:footer="992" w:gutter="0"/>
          <w:pgNumType w:start="1"/>
          <w:cols w:space="720" w:num="1"/>
          <w:titlePg/>
          <w:docGrid w:type="lines" w:linePitch="312" w:charSpace="0"/>
        </w:sectPr>
      </w:pPr>
    </w:p>
    <w:p>
      <w:pPr>
        <w:spacing w:line="548" w:lineRule="exact"/>
        <w:rPr>
          <w:rFonts w:ascii="黑体" w:hAnsi="黑体" w:eastAsia="黑体" w:cs="黑体"/>
          <w:sz w:val="32"/>
          <w:szCs w:val="32"/>
        </w:rPr>
      </w:pPr>
      <w:r>
        <w:rPr>
          <w:rFonts w:hint="eastAsia" w:ascii="黑体" w:hAnsi="黑体" w:eastAsia="黑体" w:cs="黑体"/>
          <w:sz w:val="32"/>
          <w:szCs w:val="32"/>
        </w:rPr>
        <w:t>附件5</w:t>
      </w:r>
    </w:p>
    <w:p>
      <w:pPr>
        <w:adjustRightInd w:val="0"/>
        <w:spacing w:line="360" w:lineRule="exact"/>
        <w:jc w:val="center"/>
        <w:rPr>
          <w:rFonts w:eastAsia="方正小标宋_GBK"/>
          <w:color w:val="000000"/>
          <w:sz w:val="36"/>
          <w:szCs w:val="28"/>
        </w:rPr>
      </w:pPr>
      <w:r>
        <w:rPr>
          <w:rFonts w:eastAsia="方正小标宋_GBK"/>
          <w:color w:val="000000"/>
          <w:sz w:val="36"/>
          <w:szCs w:val="32"/>
        </w:rPr>
        <w:t>企业</w:t>
      </w:r>
      <w:r>
        <w:rPr>
          <w:rFonts w:eastAsia="方正小标宋_GBK"/>
          <w:color w:val="000000"/>
          <w:sz w:val="36"/>
          <w:szCs w:val="28"/>
        </w:rPr>
        <w:t>环境安全隐患</w:t>
      </w:r>
      <w:r>
        <w:rPr>
          <w:rFonts w:hint="eastAsia" w:eastAsia="方正小标宋_GBK"/>
          <w:color w:val="000000"/>
          <w:sz w:val="36"/>
          <w:szCs w:val="28"/>
        </w:rPr>
        <w:t>整改闭环情况汇总</w:t>
      </w:r>
      <w:r>
        <w:rPr>
          <w:rFonts w:eastAsia="方正小标宋_GBK"/>
          <w:color w:val="000000"/>
          <w:sz w:val="36"/>
          <w:szCs w:val="28"/>
        </w:rPr>
        <w:t>表</w:t>
      </w:r>
    </w:p>
    <w:p>
      <w:pPr>
        <w:adjustRightInd w:val="0"/>
        <w:spacing w:beforeLines="60" w:line="360" w:lineRule="exact"/>
        <w:jc w:val="center"/>
        <w:rPr>
          <w:rFonts w:eastAsia="楷体_GB2312"/>
          <w:color w:val="000000"/>
        </w:rPr>
      </w:pPr>
      <w:r>
        <w:rPr>
          <w:rFonts w:hint="eastAsia" w:eastAsia="楷体_GB2312"/>
          <w:color w:val="000000"/>
        </w:rPr>
        <w:t>（此表根据“八查八改”原专家现场检查意见由各执法分局填写）</w:t>
      </w:r>
    </w:p>
    <w:tbl>
      <w:tblPr>
        <w:tblStyle w:val="6"/>
        <w:tblW w:w="14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4046"/>
        <w:gridCol w:w="4310"/>
        <w:gridCol w:w="1711"/>
        <w:gridCol w:w="3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992" w:type="dxa"/>
            <w:gridSpan w:val="2"/>
            <w:noWrap/>
            <w:vAlign w:val="center"/>
          </w:tcPr>
          <w:p>
            <w:pPr>
              <w:adjustRightInd w:val="0"/>
              <w:jc w:val="center"/>
              <w:rPr>
                <w:b/>
                <w:color w:val="000000"/>
                <w:sz w:val="24"/>
              </w:rPr>
            </w:pPr>
            <w:r>
              <w:rPr>
                <w:rFonts w:hint="eastAsia" w:hAnsi="方正仿宋_GBK"/>
                <w:b/>
                <w:color w:val="000000"/>
                <w:sz w:val="24"/>
              </w:rPr>
              <w:t>专家“八查八改”原现场检查意见</w:t>
            </w:r>
          </w:p>
        </w:tc>
        <w:tc>
          <w:tcPr>
            <w:tcW w:w="4310" w:type="dxa"/>
            <w:vMerge w:val="restart"/>
            <w:noWrap/>
            <w:vAlign w:val="center"/>
          </w:tcPr>
          <w:p>
            <w:pPr>
              <w:adjustRightInd w:val="0"/>
              <w:jc w:val="center"/>
              <w:rPr>
                <w:b/>
                <w:color w:val="000000"/>
                <w:sz w:val="24"/>
              </w:rPr>
            </w:pPr>
            <w:r>
              <w:rPr>
                <w:rFonts w:hAnsi="方正仿宋_GBK"/>
                <w:b/>
                <w:color w:val="000000"/>
                <w:sz w:val="24"/>
              </w:rPr>
              <w:t>整治情况</w:t>
            </w:r>
          </w:p>
        </w:tc>
        <w:tc>
          <w:tcPr>
            <w:tcW w:w="1711" w:type="dxa"/>
            <w:vMerge w:val="restart"/>
            <w:noWrap/>
            <w:vAlign w:val="center"/>
          </w:tcPr>
          <w:p>
            <w:pPr>
              <w:adjustRightInd w:val="0"/>
              <w:jc w:val="center"/>
              <w:rPr>
                <w:rFonts w:hAnsi="方正仿宋_GBK"/>
                <w:b/>
                <w:color w:val="000000"/>
                <w:sz w:val="24"/>
              </w:rPr>
            </w:pPr>
            <w:r>
              <w:rPr>
                <w:rFonts w:hint="eastAsia" w:hAnsi="方正仿宋_GBK"/>
                <w:b/>
                <w:color w:val="000000"/>
                <w:sz w:val="24"/>
              </w:rPr>
              <w:t>现场核查情况</w:t>
            </w:r>
          </w:p>
          <w:p>
            <w:pPr>
              <w:adjustRightInd w:val="0"/>
              <w:jc w:val="center"/>
              <w:rPr>
                <w:rFonts w:hAnsi="方正仿宋_GBK"/>
                <w:b/>
                <w:color w:val="000000"/>
                <w:sz w:val="24"/>
              </w:rPr>
            </w:pPr>
            <w:r>
              <w:rPr>
                <w:rFonts w:hint="eastAsia" w:hAnsi="方正仿宋_GBK"/>
                <w:b/>
                <w:color w:val="000000"/>
                <w:sz w:val="24"/>
              </w:rPr>
              <w:t>（是、否完成）</w:t>
            </w:r>
          </w:p>
        </w:tc>
        <w:tc>
          <w:tcPr>
            <w:tcW w:w="3150" w:type="dxa"/>
            <w:vMerge w:val="restart"/>
            <w:noWrap/>
            <w:vAlign w:val="center"/>
          </w:tcPr>
          <w:p>
            <w:pPr>
              <w:adjustRightInd w:val="0"/>
              <w:jc w:val="center"/>
              <w:rPr>
                <w:rFonts w:hAnsi="方正仿宋_GBK"/>
                <w:b/>
                <w:color w:val="000000"/>
                <w:sz w:val="24"/>
              </w:rPr>
            </w:pPr>
            <w:r>
              <w:rPr>
                <w:rFonts w:hint="eastAsia" w:hAnsi="方正仿宋_GBK"/>
                <w:b/>
                <w:color w:val="000000"/>
                <w:sz w:val="24"/>
              </w:rPr>
              <w:t>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992" w:type="dxa"/>
            <w:gridSpan w:val="2"/>
            <w:noWrap/>
            <w:vAlign w:val="center"/>
          </w:tcPr>
          <w:p>
            <w:pPr>
              <w:adjustRightInd w:val="0"/>
              <w:jc w:val="center"/>
              <w:rPr>
                <w:rFonts w:hAnsi="方正仿宋_GBK"/>
                <w:b/>
                <w:color w:val="000000"/>
                <w:sz w:val="24"/>
              </w:rPr>
            </w:pPr>
            <w:r>
              <w:rPr>
                <w:rFonts w:hAnsi="方正仿宋_GBK"/>
                <w:b/>
                <w:color w:val="000000"/>
                <w:sz w:val="24"/>
              </w:rPr>
              <w:t>一般隐患</w:t>
            </w:r>
          </w:p>
        </w:tc>
        <w:tc>
          <w:tcPr>
            <w:tcW w:w="4310" w:type="dxa"/>
            <w:vMerge w:val="continue"/>
            <w:noWrap/>
            <w:vAlign w:val="center"/>
          </w:tcPr>
          <w:p>
            <w:pPr>
              <w:adjustRightInd w:val="0"/>
              <w:jc w:val="center"/>
              <w:rPr>
                <w:rFonts w:hAnsi="方正仿宋_GBK"/>
                <w:b/>
                <w:color w:val="000000"/>
                <w:sz w:val="24"/>
              </w:rPr>
            </w:pPr>
          </w:p>
        </w:tc>
        <w:tc>
          <w:tcPr>
            <w:tcW w:w="1711" w:type="dxa"/>
            <w:vMerge w:val="continue"/>
            <w:noWrap/>
            <w:vAlign w:val="center"/>
          </w:tcPr>
          <w:p>
            <w:pPr>
              <w:adjustRightInd w:val="0"/>
              <w:jc w:val="center"/>
              <w:rPr>
                <w:rFonts w:hAnsi="方正仿宋_GBK"/>
                <w:b/>
                <w:color w:val="000000"/>
                <w:sz w:val="24"/>
              </w:rPr>
            </w:pPr>
          </w:p>
        </w:tc>
        <w:tc>
          <w:tcPr>
            <w:tcW w:w="3150" w:type="dxa"/>
            <w:vMerge w:val="continue"/>
            <w:noWrap/>
            <w:vAlign w:val="center"/>
          </w:tcPr>
          <w:p>
            <w:pPr>
              <w:adjustRightInd w:val="0"/>
              <w:jc w:val="center"/>
              <w:rPr>
                <w:rFonts w:hAnsi="方正仿宋_GBK"/>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1</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2</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3</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4</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rFonts w:hint="eastAsia"/>
                <w:color w:val="000000"/>
                <w:sz w:val="24"/>
              </w:rPr>
              <w:t>…</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992" w:type="dxa"/>
            <w:gridSpan w:val="2"/>
            <w:noWrap/>
            <w:vAlign w:val="center"/>
          </w:tcPr>
          <w:p>
            <w:pPr>
              <w:adjustRightInd w:val="0"/>
              <w:jc w:val="center"/>
              <w:rPr>
                <w:b/>
                <w:color w:val="000000"/>
                <w:sz w:val="24"/>
              </w:rPr>
            </w:pPr>
            <w:r>
              <w:rPr>
                <w:rFonts w:hAnsi="方正仿宋_GBK"/>
                <w:b/>
                <w:color w:val="000000"/>
                <w:sz w:val="24"/>
              </w:rPr>
              <w:t>重大隐患</w:t>
            </w:r>
          </w:p>
        </w:tc>
        <w:tc>
          <w:tcPr>
            <w:tcW w:w="4310" w:type="dxa"/>
            <w:noWrap/>
            <w:vAlign w:val="center"/>
          </w:tcPr>
          <w:p>
            <w:pPr>
              <w:adjustRightInd w:val="0"/>
              <w:jc w:val="center"/>
              <w:rPr>
                <w:b/>
                <w:color w:val="000000"/>
                <w:sz w:val="24"/>
              </w:rPr>
            </w:pPr>
            <w:r>
              <w:rPr>
                <w:rFonts w:hAnsi="方正仿宋_GBK"/>
                <w:b/>
                <w:color w:val="000000"/>
                <w:sz w:val="24"/>
              </w:rPr>
              <w:t>整治情况</w:t>
            </w:r>
          </w:p>
        </w:tc>
        <w:tc>
          <w:tcPr>
            <w:tcW w:w="1711" w:type="dxa"/>
            <w:noWrap/>
            <w:vAlign w:val="center"/>
          </w:tcPr>
          <w:p>
            <w:pPr>
              <w:adjustRightInd w:val="0"/>
              <w:jc w:val="center"/>
              <w:rPr>
                <w:rFonts w:hAnsi="方正仿宋_GBK"/>
                <w:b/>
                <w:color w:val="000000"/>
                <w:sz w:val="24"/>
              </w:rPr>
            </w:pPr>
          </w:p>
        </w:tc>
        <w:tc>
          <w:tcPr>
            <w:tcW w:w="3150" w:type="dxa"/>
            <w:noWrap/>
            <w:vAlign w:val="center"/>
          </w:tcPr>
          <w:p>
            <w:pPr>
              <w:adjustRightInd w:val="0"/>
              <w:jc w:val="center"/>
              <w:rPr>
                <w:rFonts w:hAnsi="方正仿宋_GBK"/>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1</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2</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3</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color w:val="000000"/>
                <w:sz w:val="24"/>
              </w:rPr>
              <w:t>4</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6" w:type="dxa"/>
            <w:noWrap/>
            <w:vAlign w:val="center"/>
          </w:tcPr>
          <w:p>
            <w:pPr>
              <w:adjustRightInd w:val="0"/>
              <w:jc w:val="center"/>
              <w:rPr>
                <w:color w:val="000000"/>
                <w:sz w:val="24"/>
              </w:rPr>
            </w:pPr>
            <w:r>
              <w:rPr>
                <w:rFonts w:hint="eastAsia"/>
                <w:color w:val="000000"/>
                <w:sz w:val="24"/>
              </w:rPr>
              <w:t>…</w:t>
            </w:r>
          </w:p>
        </w:tc>
        <w:tc>
          <w:tcPr>
            <w:tcW w:w="4046" w:type="dxa"/>
            <w:noWrap/>
            <w:vAlign w:val="center"/>
          </w:tcPr>
          <w:p>
            <w:pPr>
              <w:adjustRightInd w:val="0"/>
              <w:jc w:val="center"/>
              <w:rPr>
                <w:color w:val="000000"/>
                <w:sz w:val="24"/>
              </w:rPr>
            </w:pPr>
          </w:p>
          <w:p>
            <w:pPr>
              <w:adjustRightInd w:val="0"/>
              <w:jc w:val="center"/>
              <w:rPr>
                <w:color w:val="000000"/>
                <w:sz w:val="24"/>
              </w:rPr>
            </w:pPr>
          </w:p>
        </w:tc>
        <w:tc>
          <w:tcPr>
            <w:tcW w:w="4310" w:type="dxa"/>
            <w:noWrap/>
            <w:vAlign w:val="center"/>
          </w:tcPr>
          <w:p>
            <w:pPr>
              <w:adjustRightInd w:val="0"/>
              <w:jc w:val="center"/>
              <w:rPr>
                <w:color w:val="000000"/>
                <w:sz w:val="24"/>
              </w:rPr>
            </w:pPr>
          </w:p>
        </w:tc>
        <w:tc>
          <w:tcPr>
            <w:tcW w:w="1711" w:type="dxa"/>
            <w:noWrap/>
            <w:vAlign w:val="center"/>
          </w:tcPr>
          <w:p>
            <w:pPr>
              <w:adjustRightInd w:val="0"/>
              <w:jc w:val="center"/>
              <w:rPr>
                <w:color w:val="000000"/>
                <w:sz w:val="24"/>
              </w:rPr>
            </w:pPr>
          </w:p>
        </w:tc>
        <w:tc>
          <w:tcPr>
            <w:tcW w:w="3150" w:type="dxa"/>
            <w:noWrap/>
            <w:vAlign w:val="center"/>
          </w:tcPr>
          <w:p>
            <w:pPr>
              <w:adjustRightInd w:val="0"/>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163" w:type="dxa"/>
            <w:gridSpan w:val="5"/>
            <w:noWrap/>
            <w:vAlign w:val="center"/>
          </w:tcPr>
          <w:p>
            <w:pPr>
              <w:adjustRightInd w:val="0"/>
              <w:jc w:val="left"/>
              <w:rPr>
                <w:color w:val="000000"/>
                <w:sz w:val="24"/>
              </w:rPr>
            </w:pPr>
            <w:r>
              <w:rPr>
                <w:rFonts w:hint="eastAsia" w:hAnsi="方正仿宋_GBK"/>
                <w:b/>
                <w:color w:val="000000"/>
                <w:sz w:val="24"/>
              </w:rPr>
              <w:t>　备　　注：</w:t>
            </w:r>
          </w:p>
        </w:tc>
      </w:tr>
    </w:tbl>
    <w:p>
      <w:pPr>
        <w:adjustRightInd w:val="0"/>
        <w:spacing w:afterLines="50"/>
        <w:jc w:val="left"/>
        <w:rPr>
          <w:rFonts w:ascii="楷体_GB2312" w:hAnsi="楷体" w:eastAsia="楷体_GB2312"/>
          <w:color w:val="000000"/>
          <w:sz w:val="28"/>
          <w:szCs w:val="30"/>
        </w:rPr>
      </w:pPr>
      <w:r>
        <w:rPr>
          <w:rFonts w:hint="eastAsia" w:eastAsia="仿宋_GB2312"/>
          <w:b/>
          <w:color w:val="000000"/>
          <w:sz w:val="24"/>
        </w:rPr>
        <w:t>核</w:t>
      </w:r>
      <w:r>
        <w:rPr>
          <w:rFonts w:eastAsia="仿宋_GB2312"/>
          <w:b/>
          <w:color w:val="000000"/>
          <w:sz w:val="24"/>
        </w:rPr>
        <w:t xml:space="preserve">查时间： </w:t>
      </w:r>
      <w:r>
        <w:rPr>
          <w:rFonts w:hint="eastAsia" w:eastAsia="仿宋_GB2312"/>
          <w:b/>
          <w:color w:val="000000"/>
          <w:sz w:val="24"/>
        </w:rPr>
        <w:t>　</w:t>
      </w:r>
      <w:r>
        <w:rPr>
          <w:rFonts w:eastAsia="仿宋_GB2312"/>
          <w:b/>
          <w:color w:val="000000"/>
          <w:sz w:val="24"/>
        </w:rPr>
        <w:t xml:space="preserve"> 年 </w:t>
      </w:r>
      <w:r>
        <w:rPr>
          <w:rFonts w:hint="eastAsia" w:eastAsia="仿宋_GB2312"/>
          <w:b/>
          <w:color w:val="000000"/>
          <w:sz w:val="24"/>
        </w:rPr>
        <w:t>　</w:t>
      </w:r>
      <w:r>
        <w:rPr>
          <w:rFonts w:eastAsia="仿宋_GB2312"/>
          <w:b/>
          <w:color w:val="000000"/>
          <w:sz w:val="24"/>
        </w:rPr>
        <w:t xml:space="preserve"> 月  </w:t>
      </w:r>
      <w:r>
        <w:rPr>
          <w:rFonts w:hint="eastAsia" w:eastAsia="仿宋_GB2312"/>
          <w:b/>
          <w:color w:val="000000"/>
          <w:sz w:val="24"/>
        </w:rPr>
        <w:t>　</w:t>
      </w:r>
      <w:r>
        <w:rPr>
          <w:rFonts w:eastAsia="仿宋_GB2312"/>
          <w:b/>
          <w:color w:val="000000"/>
          <w:sz w:val="24"/>
        </w:rPr>
        <w:t xml:space="preserve">日              </w:t>
      </w:r>
      <w:r>
        <w:rPr>
          <w:rFonts w:hint="eastAsia" w:eastAsia="仿宋_GB2312"/>
          <w:b/>
          <w:color w:val="000000"/>
          <w:sz w:val="24"/>
        </w:rPr>
        <w:t>　　　　　　　</w:t>
      </w:r>
      <w:r>
        <w:rPr>
          <w:rFonts w:eastAsia="仿宋_GB2312"/>
          <w:b/>
          <w:color w:val="000000"/>
          <w:sz w:val="24"/>
        </w:rPr>
        <w:t xml:space="preserve"> 现场</w:t>
      </w:r>
      <w:r>
        <w:rPr>
          <w:rFonts w:hint="eastAsia" w:eastAsia="仿宋_GB2312"/>
          <w:b/>
          <w:color w:val="000000"/>
          <w:sz w:val="24"/>
        </w:rPr>
        <w:t>核查人员</w:t>
      </w:r>
      <w:r>
        <w:rPr>
          <w:rFonts w:eastAsia="仿宋_GB2312"/>
          <w:b/>
          <w:color w:val="000000"/>
          <w:sz w:val="24"/>
        </w:rPr>
        <w:t>（签字）：</w:t>
      </w:r>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00000001" w:usb1="080E0000" w:usb2="00000000" w:usb3="00000000" w:csb0="00040000" w:csb1="00000000"/>
  </w:font>
  <w:font w:name="汉仪乐喵体W">
    <w:panose1 w:val="00020600040101010101"/>
    <w:charset w:val="86"/>
    <w:family w:val="auto"/>
    <w:pitch w:val="default"/>
    <w:sig w:usb0="A00002BF" w:usb1="18EF7CFA" w:usb2="00000016"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方正新报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细倩_GBK">
    <w:panose1 w:val="03000509000000000000"/>
    <w:charset w:val="86"/>
    <w:family w:val="auto"/>
    <w:pitch w:val="default"/>
    <w:sig w:usb0="00000001" w:usb1="080E0000" w:usb2="00000000" w:usb3="00000000" w:csb0="00040000" w:csb1="00000000"/>
  </w:font>
  <w:font w:name="方正综艺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4"/>
        <w:szCs w:val="24"/>
      </w:rPr>
    </w:pPr>
    <w:r>
      <w:rPr>
        <w:rFonts w:hint="eastAsia"/>
        <w:sz w:val="24"/>
        <w:szCs w:val="24"/>
      </w:rPr>
      <w:t>-</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10</w:t>
    </w:r>
    <w:r>
      <w:rPr>
        <w:sz w:val="24"/>
        <w:szCs w:val="24"/>
      </w:rPr>
      <w:fldChar w:fldCharType="end"/>
    </w:r>
    <w:r>
      <w:rPr>
        <w:rFonts w:hint="eastAsia"/>
        <w:sz w:val="24"/>
        <w:szCs w:val="24"/>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43F60F"/>
    <w:multiLevelType w:val="singleLevel"/>
    <w:tmpl w:val="6743F60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7C4F"/>
    <w:rsid w:val="00001E6E"/>
    <w:rsid w:val="0002291D"/>
    <w:rsid w:val="00024535"/>
    <w:rsid w:val="000353BF"/>
    <w:rsid w:val="00041A9A"/>
    <w:rsid w:val="0004478B"/>
    <w:rsid w:val="00072809"/>
    <w:rsid w:val="00074413"/>
    <w:rsid w:val="000940D1"/>
    <w:rsid w:val="000C317F"/>
    <w:rsid w:val="000D145C"/>
    <w:rsid w:val="000E2633"/>
    <w:rsid w:val="000F6BCE"/>
    <w:rsid w:val="00151767"/>
    <w:rsid w:val="001A63AB"/>
    <w:rsid w:val="001B636D"/>
    <w:rsid w:val="001D5128"/>
    <w:rsid w:val="001E2EF7"/>
    <w:rsid w:val="001E6F48"/>
    <w:rsid w:val="00203CF2"/>
    <w:rsid w:val="00205A0E"/>
    <w:rsid w:val="0029688A"/>
    <w:rsid w:val="002A1327"/>
    <w:rsid w:val="002E7408"/>
    <w:rsid w:val="00306218"/>
    <w:rsid w:val="0031098B"/>
    <w:rsid w:val="0032119B"/>
    <w:rsid w:val="003251E2"/>
    <w:rsid w:val="00332609"/>
    <w:rsid w:val="00353F6F"/>
    <w:rsid w:val="00356892"/>
    <w:rsid w:val="00361FE2"/>
    <w:rsid w:val="00363946"/>
    <w:rsid w:val="00376BAD"/>
    <w:rsid w:val="00382EE7"/>
    <w:rsid w:val="00393729"/>
    <w:rsid w:val="003B7160"/>
    <w:rsid w:val="003C1314"/>
    <w:rsid w:val="003C38B5"/>
    <w:rsid w:val="003D4CF4"/>
    <w:rsid w:val="003F56E1"/>
    <w:rsid w:val="00405479"/>
    <w:rsid w:val="004307BC"/>
    <w:rsid w:val="0043115E"/>
    <w:rsid w:val="00433FD0"/>
    <w:rsid w:val="0045491B"/>
    <w:rsid w:val="0046179C"/>
    <w:rsid w:val="00463467"/>
    <w:rsid w:val="004A4BF4"/>
    <w:rsid w:val="004B1FF4"/>
    <w:rsid w:val="004C4977"/>
    <w:rsid w:val="0052011A"/>
    <w:rsid w:val="00526869"/>
    <w:rsid w:val="00540773"/>
    <w:rsid w:val="005505E1"/>
    <w:rsid w:val="00587716"/>
    <w:rsid w:val="005A6390"/>
    <w:rsid w:val="005B3B36"/>
    <w:rsid w:val="005C41C9"/>
    <w:rsid w:val="005D30BA"/>
    <w:rsid w:val="005D5995"/>
    <w:rsid w:val="005E3AF5"/>
    <w:rsid w:val="006241DD"/>
    <w:rsid w:val="0063294F"/>
    <w:rsid w:val="00672B5A"/>
    <w:rsid w:val="00674822"/>
    <w:rsid w:val="00687C6C"/>
    <w:rsid w:val="007058A8"/>
    <w:rsid w:val="00713973"/>
    <w:rsid w:val="0072018B"/>
    <w:rsid w:val="00722071"/>
    <w:rsid w:val="00733946"/>
    <w:rsid w:val="00755625"/>
    <w:rsid w:val="00787367"/>
    <w:rsid w:val="007C1E47"/>
    <w:rsid w:val="007D5A0F"/>
    <w:rsid w:val="007E2F64"/>
    <w:rsid w:val="007F048C"/>
    <w:rsid w:val="007F3FBE"/>
    <w:rsid w:val="00802FC9"/>
    <w:rsid w:val="00807159"/>
    <w:rsid w:val="00810743"/>
    <w:rsid w:val="008320A8"/>
    <w:rsid w:val="00835A7F"/>
    <w:rsid w:val="00843FAC"/>
    <w:rsid w:val="00850E32"/>
    <w:rsid w:val="008643CC"/>
    <w:rsid w:val="008C1308"/>
    <w:rsid w:val="008C6503"/>
    <w:rsid w:val="008F5609"/>
    <w:rsid w:val="00902E9E"/>
    <w:rsid w:val="00915B84"/>
    <w:rsid w:val="00920693"/>
    <w:rsid w:val="00942B81"/>
    <w:rsid w:val="00946557"/>
    <w:rsid w:val="009468C4"/>
    <w:rsid w:val="0097252E"/>
    <w:rsid w:val="00977987"/>
    <w:rsid w:val="009E5D30"/>
    <w:rsid w:val="009F0830"/>
    <w:rsid w:val="00A043E5"/>
    <w:rsid w:val="00A10BF8"/>
    <w:rsid w:val="00A16EA5"/>
    <w:rsid w:val="00A3463E"/>
    <w:rsid w:val="00A373B2"/>
    <w:rsid w:val="00A416B4"/>
    <w:rsid w:val="00A63697"/>
    <w:rsid w:val="00A858F3"/>
    <w:rsid w:val="00AA2340"/>
    <w:rsid w:val="00AA4994"/>
    <w:rsid w:val="00AA6A54"/>
    <w:rsid w:val="00AB7887"/>
    <w:rsid w:val="00AD6707"/>
    <w:rsid w:val="00B13D51"/>
    <w:rsid w:val="00B464D0"/>
    <w:rsid w:val="00B52D04"/>
    <w:rsid w:val="00B60ED4"/>
    <w:rsid w:val="00B61303"/>
    <w:rsid w:val="00B65127"/>
    <w:rsid w:val="00B83941"/>
    <w:rsid w:val="00B96CDF"/>
    <w:rsid w:val="00BA1B98"/>
    <w:rsid w:val="00BA2160"/>
    <w:rsid w:val="00BB72CF"/>
    <w:rsid w:val="00BD0069"/>
    <w:rsid w:val="00BD1C80"/>
    <w:rsid w:val="00C04987"/>
    <w:rsid w:val="00C35117"/>
    <w:rsid w:val="00C42A14"/>
    <w:rsid w:val="00C42FA8"/>
    <w:rsid w:val="00C85008"/>
    <w:rsid w:val="00C93361"/>
    <w:rsid w:val="00CB2AA0"/>
    <w:rsid w:val="00CE0D06"/>
    <w:rsid w:val="00D010D3"/>
    <w:rsid w:val="00D06505"/>
    <w:rsid w:val="00D16908"/>
    <w:rsid w:val="00D4069E"/>
    <w:rsid w:val="00D44F92"/>
    <w:rsid w:val="00D92AD8"/>
    <w:rsid w:val="00DB5CF7"/>
    <w:rsid w:val="00DC4D18"/>
    <w:rsid w:val="00DC76A8"/>
    <w:rsid w:val="00DD69FC"/>
    <w:rsid w:val="00DE1112"/>
    <w:rsid w:val="00DF1372"/>
    <w:rsid w:val="00E24364"/>
    <w:rsid w:val="00E4616D"/>
    <w:rsid w:val="00E53825"/>
    <w:rsid w:val="00EB6BB3"/>
    <w:rsid w:val="00EC325A"/>
    <w:rsid w:val="00EE004B"/>
    <w:rsid w:val="00EE7C4F"/>
    <w:rsid w:val="00F20A13"/>
    <w:rsid w:val="00F239F8"/>
    <w:rsid w:val="00F23EB0"/>
    <w:rsid w:val="00F75226"/>
    <w:rsid w:val="00FC34B3"/>
    <w:rsid w:val="00FC5F46"/>
    <w:rsid w:val="00FF2C75"/>
    <w:rsid w:val="06C2671C"/>
    <w:rsid w:val="0DA97119"/>
    <w:rsid w:val="0DC76487"/>
    <w:rsid w:val="0F9F2065"/>
    <w:rsid w:val="0FE26D3C"/>
    <w:rsid w:val="10504036"/>
    <w:rsid w:val="16F2169F"/>
    <w:rsid w:val="20F3310A"/>
    <w:rsid w:val="37176E85"/>
    <w:rsid w:val="3B7420AD"/>
    <w:rsid w:val="450F677A"/>
    <w:rsid w:val="46BE69CE"/>
    <w:rsid w:val="48C12C84"/>
    <w:rsid w:val="56FC76F2"/>
    <w:rsid w:val="626470D5"/>
    <w:rsid w:val="68E71058"/>
    <w:rsid w:val="75CD5DDB"/>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iPriority w:val="0"/>
    <w:pPr>
      <w:adjustRightInd w:val="0"/>
      <w:jc w:val="left"/>
    </w:pPr>
    <w:rPr>
      <w:spacing w:val="-25"/>
    </w:rPr>
  </w:style>
  <w:style w:type="paragraph" w:styleId="3">
    <w:name w:val="footer"/>
    <w:basedOn w:val="1"/>
    <w:link w:val="11"/>
    <w:qFormat/>
    <w:uiPriority w:val="99"/>
    <w:pPr>
      <w:tabs>
        <w:tab w:val="center" w:pos="4153"/>
        <w:tab w:val="right" w:pos="8306"/>
      </w:tabs>
      <w:snapToGrid w:val="0"/>
      <w:jc w:val="left"/>
    </w:pPr>
    <w:rPr>
      <w:rFonts w:ascii="Times New Roman" w:hAnsi="Times New Roman"/>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rFonts w:cs="Calibri"/>
      <w:kern w:val="0"/>
      <w:sz w:val="24"/>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Emphasis"/>
    <w:basedOn w:val="8"/>
    <w:qFormat/>
    <w:uiPriority w:val="20"/>
    <w:rPr>
      <w:i/>
      <w:iCs/>
    </w:rPr>
  </w:style>
  <w:style w:type="character" w:customStyle="1" w:styleId="10">
    <w:name w:val="页脚 Char"/>
    <w:qFormat/>
    <w:uiPriority w:val="99"/>
    <w:rPr>
      <w:kern w:val="2"/>
      <w:sz w:val="18"/>
      <w:szCs w:val="18"/>
    </w:rPr>
  </w:style>
  <w:style w:type="character" w:customStyle="1" w:styleId="11">
    <w:name w:val="页脚 Char1"/>
    <w:basedOn w:val="8"/>
    <w:link w:val="3"/>
    <w:qFormat/>
    <w:uiPriority w:val="0"/>
    <w:rPr>
      <w:kern w:val="2"/>
      <w:sz w:val="18"/>
      <w:szCs w:val="18"/>
    </w:rPr>
  </w:style>
  <w:style w:type="paragraph" w:customStyle="1" w:styleId="12">
    <w:name w:val="Default"/>
    <w:qFormat/>
    <w:uiPriority w:val="0"/>
    <w:pPr>
      <w:widowControl w:val="0"/>
      <w:autoSpaceDE w:val="0"/>
      <w:autoSpaceDN w:val="0"/>
      <w:adjustRightInd w:val="0"/>
    </w:pPr>
    <w:rPr>
      <w:rFonts w:ascii="楷体" w:hAnsi="楷体" w:eastAsia="宋体" w:cs="楷体"/>
      <w:color w:val="000000"/>
      <w:sz w:val="24"/>
      <w:szCs w:val="24"/>
      <w:lang w:val="en-US" w:eastAsia="zh-CN" w:bidi="ar-SA"/>
    </w:rPr>
  </w:style>
  <w:style w:type="character" w:customStyle="1" w:styleId="13">
    <w:name w:val="页眉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16</Pages>
  <Words>1679</Words>
  <Characters>9571</Characters>
  <Lines>79</Lines>
  <Paragraphs>22</Paragraphs>
  <TotalTime>292</TotalTime>
  <ScaleCrop>false</ScaleCrop>
  <LinksUpToDate>false</LinksUpToDate>
  <CharactersWithSpaces>11228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2020-06-09T02:57:00Z</dcterms:created>
  <dc:creator>Administrator</dc:creator>
  <cp:lastModifiedBy>枫兔子</cp:lastModifiedBy>
  <cp:lastPrinted>2021-04-22T09:07:00Z</cp:lastPrinted>
  <dcterms:modified xsi:type="dcterms:W3CDTF">2021-04-23T07:34:06Z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SaveFontToCloudKey">
    <vt:lpwstr>1020207071_btnclosed</vt:lpwstr>
  </property>
  <property fmtid="{D5CDD505-2E9C-101B-9397-08002B2CF9AE}" pid="4" name="ICV">
    <vt:lpwstr>80C2311CA3C147EB99B4B111D8BA1D02</vt:lpwstr>
  </property>
</Properties>
</file>